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Fonts w:ascii="Arial" w:hAnsi="Arial" w:cs="Arial"/>
          <w:color w:val="000000"/>
        </w:rPr>
        <w:br/>
      </w: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r w:rsidRPr="009D2816">
        <w:rPr>
          <w:b/>
          <w:sz w:val="36"/>
          <w:szCs w:val="36"/>
        </w:rPr>
        <w:t>П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4018F2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827E4B" w:rsidRDefault="008E0439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18.02.2019</w:t>
      </w:r>
      <w:r w:rsidR="00827E4B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  <w:t xml:space="preserve">                         </w:t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  <w:r w:rsidR="00827E4B" w:rsidRPr="00ED71CC">
        <w:rPr>
          <w:sz w:val="28"/>
          <w:szCs w:val="28"/>
        </w:rPr>
        <w:br/>
        <w:t xml:space="preserve"> </w:t>
      </w:r>
      <w:r w:rsidR="005C702F"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C5184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5A2D1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8C5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DB2BF5">
              <w:rPr>
                <w:sz w:val="28"/>
                <w:szCs w:val="28"/>
              </w:rPr>
              <w:t xml:space="preserve">решением Думы городского округа Нижняя Салда от 14.12.2018  № 41/1 «О бюджете городского округа Нижняя Салда на 2019 год и плановый период 2020 и 2021 годов»,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11A26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5C702F" w:rsidRPr="000A2592" w:rsidRDefault="005C702F" w:rsidP="00BC37B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0A2592">
              <w:rPr>
                <w:sz w:val="28"/>
                <w:szCs w:val="28"/>
              </w:rPr>
              <w:t xml:space="preserve">Внести </w:t>
            </w:r>
            <w:r w:rsidR="00BC37B6" w:rsidRPr="000A2592">
              <w:rPr>
                <w:sz w:val="28"/>
                <w:szCs w:val="28"/>
              </w:rPr>
              <w:t xml:space="preserve">изменения </w:t>
            </w:r>
            <w:r w:rsidRPr="000A2592">
              <w:rPr>
                <w:sz w:val="28"/>
                <w:szCs w:val="28"/>
              </w:rPr>
              <w:t>в</w:t>
            </w:r>
            <w:r w:rsidR="00827E4B" w:rsidRPr="000A2592">
              <w:rPr>
                <w:sz w:val="28"/>
                <w:szCs w:val="28"/>
              </w:rPr>
              <w:t xml:space="preserve"> </w:t>
            </w:r>
            <w:r w:rsidR="00827E4B" w:rsidRPr="000A259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0A2592">
              <w:rPr>
                <w:bCs/>
                <w:sz w:val="28"/>
                <w:szCs w:val="28"/>
              </w:rPr>
              <w:t xml:space="preserve">муниципальную </w:t>
            </w:r>
            <w:r w:rsidR="00827E4B" w:rsidRPr="000A2592">
              <w:rPr>
                <w:sz w:val="28"/>
                <w:szCs w:val="28"/>
              </w:rPr>
              <w:t>программу  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5A2D13" w:rsidRPr="000A2592">
              <w:rPr>
                <w:sz w:val="28"/>
                <w:szCs w:val="28"/>
              </w:rPr>
              <w:t>1</w:t>
            </w:r>
            <w:r w:rsidR="00827E4B" w:rsidRPr="000A2592">
              <w:rPr>
                <w:sz w:val="28"/>
                <w:szCs w:val="28"/>
              </w:rPr>
              <w:t xml:space="preserve"> года»</w:t>
            </w:r>
            <w:r w:rsidRPr="000A2592"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 w:rsidRPr="000A2592">
              <w:rPr>
                <w:sz w:val="28"/>
                <w:szCs w:val="28"/>
              </w:rPr>
              <w:t xml:space="preserve"> </w:t>
            </w:r>
            <w:r w:rsidRPr="000A2592">
              <w:rPr>
                <w:sz w:val="28"/>
                <w:szCs w:val="28"/>
              </w:rPr>
              <w:t>30</w:t>
            </w:r>
            <w:r w:rsidR="00827E4B" w:rsidRPr="000A2592">
              <w:rPr>
                <w:sz w:val="28"/>
                <w:szCs w:val="28"/>
              </w:rPr>
              <w:t xml:space="preserve"> (</w:t>
            </w:r>
            <w:r w:rsidRPr="000A2592">
              <w:rPr>
                <w:sz w:val="28"/>
                <w:szCs w:val="28"/>
              </w:rPr>
              <w:t>с изменениями</w:t>
            </w:r>
            <w:r w:rsidR="00827E4B" w:rsidRPr="000A2592">
              <w:rPr>
                <w:sz w:val="28"/>
                <w:szCs w:val="28"/>
              </w:rPr>
              <w:t>)</w:t>
            </w:r>
            <w:r w:rsidRPr="000A2592">
              <w:rPr>
                <w:sz w:val="28"/>
                <w:szCs w:val="28"/>
              </w:rPr>
              <w:t xml:space="preserve">, </w:t>
            </w:r>
            <w:r w:rsidR="00BC37B6" w:rsidRPr="000A2592">
              <w:rPr>
                <w:sz w:val="28"/>
                <w:szCs w:val="28"/>
              </w:rPr>
              <w:t>изложив приложение</w:t>
            </w:r>
            <w:r w:rsidRPr="000A2592">
              <w:rPr>
                <w:sz w:val="28"/>
                <w:szCs w:val="28"/>
              </w:rPr>
              <w:t xml:space="preserve"> №</w:t>
            </w:r>
            <w:r w:rsidR="008C5184" w:rsidRPr="000A2592">
              <w:rPr>
                <w:sz w:val="28"/>
                <w:szCs w:val="28"/>
              </w:rPr>
              <w:t xml:space="preserve"> </w:t>
            </w:r>
            <w:r w:rsidR="00BC37B6" w:rsidRPr="000A2592">
              <w:rPr>
                <w:sz w:val="28"/>
                <w:szCs w:val="28"/>
              </w:rPr>
              <w:t>2</w:t>
            </w:r>
            <w:r w:rsidR="008C5184" w:rsidRPr="000A2592">
              <w:rPr>
                <w:sz w:val="28"/>
                <w:szCs w:val="28"/>
              </w:rPr>
              <w:t xml:space="preserve"> в новой редакции (приложение</w:t>
            </w:r>
            <w:r w:rsidRPr="000A2592">
              <w:rPr>
                <w:sz w:val="28"/>
                <w:szCs w:val="28"/>
              </w:rPr>
              <w:t>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8C5184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BC37B6" w:rsidRDefault="00BC37B6" w:rsidP="005C702F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C702F" w:rsidRP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</w:t>
            </w:r>
            <w:r w:rsidR="008C5184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Е.В. Матвеева</w:t>
            </w: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Pr="007F0C7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6C655D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6C655D" w:rsidSect="002176C3">
          <w:pgSz w:w="11906" w:h="16838"/>
          <w:pgMar w:top="284" w:right="567" w:bottom="1134" w:left="1701" w:header="425" w:footer="709" w:gutter="0"/>
          <w:cols w:space="708"/>
          <w:docGrid w:linePitch="360"/>
        </w:sectPr>
      </w:pPr>
    </w:p>
    <w:p w:rsidR="00BC37B6" w:rsidRPr="000A2592" w:rsidRDefault="00BC37B6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A2592">
        <w:rPr>
          <w:bCs/>
          <w:color w:val="000000" w:themeColor="text1"/>
        </w:rPr>
        <w:lastRenderedPageBreak/>
        <w:t xml:space="preserve">Приложение </w:t>
      </w:r>
    </w:p>
    <w:p w:rsidR="00BC37B6" w:rsidRPr="000A2592" w:rsidRDefault="00BC37B6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A2592">
        <w:rPr>
          <w:bCs/>
          <w:color w:val="000000" w:themeColor="text1"/>
        </w:rPr>
        <w:t xml:space="preserve">к постановлению администрации </w:t>
      </w:r>
    </w:p>
    <w:p w:rsidR="00BC37B6" w:rsidRPr="000A2592" w:rsidRDefault="00BC37B6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A2592">
        <w:rPr>
          <w:bCs/>
          <w:color w:val="000000" w:themeColor="text1"/>
        </w:rPr>
        <w:t>городского округа Нижняя Салда</w:t>
      </w:r>
    </w:p>
    <w:p w:rsidR="00BC37B6" w:rsidRDefault="00BC37B6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0A2592">
        <w:rPr>
          <w:bCs/>
          <w:color w:val="000000" w:themeColor="text1"/>
        </w:rPr>
        <w:t xml:space="preserve">от </w:t>
      </w:r>
      <w:r w:rsidR="008E0439">
        <w:rPr>
          <w:bCs/>
          <w:color w:val="000000" w:themeColor="text1"/>
        </w:rPr>
        <w:t xml:space="preserve">18.02.2019 </w:t>
      </w:r>
      <w:r w:rsidRPr="000A2592">
        <w:rPr>
          <w:bCs/>
          <w:color w:val="000000" w:themeColor="text1"/>
        </w:rPr>
        <w:t xml:space="preserve">№ </w:t>
      </w:r>
      <w:r w:rsidR="008E0439">
        <w:rPr>
          <w:bCs/>
          <w:color w:val="000000" w:themeColor="text1"/>
        </w:rPr>
        <w:t>93</w:t>
      </w:r>
    </w:p>
    <w:p w:rsidR="00BC37B6" w:rsidRDefault="00BC37B6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Приложение № 2</w:t>
      </w:r>
      <w:r w:rsidRPr="00750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0696">
        <w:rPr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0" w:name="Par336"/>
      <w:bookmarkEnd w:id="0"/>
      <w:r w:rsidRPr="00750696">
        <w:rPr>
          <w:bCs/>
          <w:color w:val="000000" w:themeColor="text1"/>
        </w:rPr>
        <w:t>ПЛАН МЕРОПРИЯТИЙ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  <w:szCs w:val="28"/>
        </w:rPr>
        <w:t>1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750696" w:rsidRPr="00750696" w:rsidTr="004E4DF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достижение</w:t>
            </w:r>
            <w:r w:rsidRPr="00750696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750696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4E4DF4" w:rsidRPr="00750696" w:rsidTr="004E4DF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4E4DF4" w:rsidRPr="00750696" w:rsidTr="004E4DF4">
        <w:trPr>
          <w:tblHeader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4E4DF4" w:rsidRPr="00750696" w:rsidRDefault="004F5F0E" w:rsidP="0075069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535EFC" w:rsidP="00535E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</w:t>
            </w:r>
            <w:r w:rsidR="004E4DF4"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089" w:type="dxa"/>
          </w:tcPr>
          <w:p w:rsidR="004E4DF4" w:rsidRPr="00750696" w:rsidRDefault="004F5F0E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4E4DF4" w:rsidRPr="00750696" w:rsidRDefault="004F5F0E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rPr>
          <w:trHeight w:val="411"/>
        </w:trPr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rPr>
          <w:trHeight w:val="407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Pr="00750696">
                <w:rPr>
                  <w:color w:val="000000" w:themeColor="text1"/>
                  <w:sz w:val="20"/>
                </w:rPr>
                <w:t>МВК</w:t>
              </w:r>
            </w:hyperlink>
            <w:r w:rsidRPr="00750696">
              <w:rPr>
                <w:color w:val="000000" w:themeColor="text1"/>
                <w:sz w:val="20"/>
              </w:rPr>
              <w:t xml:space="preserve"> вопросов организации выявления, оказания лечебной, профилактической и </w:t>
            </w:r>
            <w:r w:rsidRPr="00750696">
              <w:rPr>
                <w:color w:val="000000" w:themeColor="text1"/>
                <w:sz w:val="20"/>
              </w:rPr>
              <w:lastRenderedPageBreak/>
              <w:t>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285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193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эпидситуации и рекомендуемых мероприятиях.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Проведение текущего и ретроспективного анализа эпидситуации на основании 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туберкулеза)по вопросам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Включение вопросов профилактики ВИЧ-инфекции, туберкулеза в санитарный минимум работников сферы </w:t>
            </w:r>
            <w:r w:rsidRPr="00750696">
              <w:rPr>
                <w:color w:val="000000" w:themeColor="text1"/>
                <w:sz w:val="20"/>
              </w:rPr>
              <w:lastRenderedPageBreak/>
              <w:t>услуг, общественного питания и торговли.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9911B7" w:rsidRPr="00750696" w:rsidTr="004E4DF4">
        <w:tc>
          <w:tcPr>
            <w:tcW w:w="960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874" w:type="dxa"/>
          </w:tcPr>
          <w:p w:rsidR="009911B7" w:rsidRPr="00750696" w:rsidRDefault="009911B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9911B7" w:rsidRPr="00750696" w:rsidRDefault="009911B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9911B7" w:rsidRPr="00750696" w:rsidRDefault="002615C5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37</w:t>
            </w:r>
            <w:r w:rsidR="009911B7">
              <w:rPr>
                <w:color w:val="000000" w:themeColor="text1"/>
                <w:sz w:val="20"/>
              </w:rPr>
              <w:t>9 402,00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9911B7" w:rsidRPr="00750696" w:rsidRDefault="002615C5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535EFC">
              <w:rPr>
                <w:color w:val="000000" w:themeColor="text1"/>
                <w:sz w:val="20"/>
              </w:rPr>
              <w:t>0 00</w:t>
            </w:r>
            <w:r w:rsidR="00535EFC"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CB1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BD2B3B" w:rsidRPr="00750696" w:rsidRDefault="00BD2B3B" w:rsidP="00B0772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379 402,00</w:t>
            </w:r>
          </w:p>
        </w:tc>
        <w:tc>
          <w:tcPr>
            <w:tcW w:w="1089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30 00</w:t>
            </w:r>
            <w:r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089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CB1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 (лекций, бесед, встреч, распространение информационных материалов) по профилак-тике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CB1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обучения не менее 2-х специалистов ГБУ «КЦСОН г. Нижняя Салда»  обеспечивающих проведение профилактических мероприятий вопросам ВИЧ-инфекции  на базе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специалистов учреждения, обеспечивающих проведение профилактических </w:t>
            </w:r>
            <w:r w:rsidRPr="00750696">
              <w:rPr>
                <w:color w:val="000000" w:themeColor="text1"/>
                <w:sz w:val="20"/>
              </w:rPr>
              <w:lastRenderedPageBreak/>
              <w:t>мероприятий методическими и информационными материалами через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991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22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991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991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проведения скрининговых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9919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консультирования ВИЧ-инфицированных пациентов у нарколога, фтизиатра, дерматовенеролога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 системы социального сопровождения ВИЧ-инфицированных граждан совместно со </w:t>
            </w:r>
            <w:r w:rsidRPr="00750696">
              <w:rPr>
                <w:color w:val="000000" w:themeColor="text1"/>
                <w:sz w:val="20"/>
              </w:rPr>
              <w:lastRenderedPageBreak/>
              <w:t>специализированными учреждениями здравоохранения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27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22.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6F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24.</w:t>
            </w:r>
          </w:p>
          <w:p w:rsidR="00BD2B3B" w:rsidRPr="00750696" w:rsidRDefault="00BD2B3B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6F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25.</w:t>
            </w:r>
          </w:p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экспресс-тестами и антиретровирусными препаратами.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6F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26.</w:t>
            </w:r>
          </w:p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всех медицинских работников средствами индивидуальной защиты.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6F3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27.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28.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контроля за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BD2B3B" w:rsidRPr="00750696" w:rsidTr="004E4DF4">
        <w:trPr>
          <w:trHeight w:val="3392"/>
        </w:trPr>
        <w:tc>
          <w:tcPr>
            <w:tcW w:w="960" w:type="dxa"/>
          </w:tcPr>
          <w:p w:rsidR="00BD2B3B" w:rsidRPr="00750696" w:rsidRDefault="00BD2B3B" w:rsidP="006E4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33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29. 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на территории городского округа выполнения требований Федерального закона от 21 ноября 2011 года N 323-ФЗ </w:t>
            </w:r>
            <w:r>
              <w:rPr>
                <w:color w:val="000000" w:themeColor="text1"/>
                <w:sz w:val="20"/>
              </w:rPr>
              <w:t>«</w:t>
            </w:r>
            <w:r w:rsidRPr="00750696">
              <w:rPr>
                <w:color w:val="000000" w:themeColor="text1"/>
                <w:sz w:val="20"/>
              </w:rPr>
              <w:t>Об основах охраны здоровья граждан в Российской Федерации</w:t>
            </w:r>
            <w:r>
              <w:rPr>
                <w:color w:val="000000" w:themeColor="text1"/>
                <w:sz w:val="20"/>
              </w:rPr>
              <w:t>»</w:t>
            </w:r>
            <w:r w:rsidRPr="00750696">
              <w:rPr>
                <w:color w:val="000000" w:themeColor="text1"/>
                <w:sz w:val="20"/>
              </w:rPr>
              <w:t xml:space="preserve">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6E4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30.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6E475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31.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32. 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Размещение информации о мерах профилактики ВИЧ-инфекции и ссылки на сайт государственного бюджетного </w:t>
            </w:r>
            <w:r w:rsidRPr="00750696">
              <w:rPr>
                <w:color w:val="000000" w:themeColor="text1"/>
                <w:sz w:val="20"/>
              </w:rPr>
              <w:lastRenderedPageBreak/>
              <w:t xml:space="preserve">учреждения здравоохранения Свердловской области </w:t>
            </w:r>
            <w:r>
              <w:rPr>
                <w:color w:val="000000" w:themeColor="text1"/>
                <w:sz w:val="20"/>
              </w:rPr>
              <w:t>«</w:t>
            </w:r>
            <w:r w:rsidRPr="00750696">
              <w:rPr>
                <w:color w:val="000000" w:themeColor="text1"/>
                <w:sz w:val="20"/>
              </w:rPr>
              <w:t>Свердловский областной центр профилактики и борьбы со СПИД</w:t>
            </w:r>
            <w:r>
              <w:rPr>
                <w:color w:val="000000" w:themeColor="text1"/>
                <w:sz w:val="20"/>
              </w:rPr>
              <w:t>»</w:t>
            </w:r>
            <w:r w:rsidRPr="00750696">
              <w:rPr>
                <w:color w:val="000000" w:themeColor="text1"/>
                <w:sz w:val="20"/>
              </w:rPr>
              <w:t xml:space="preserve"> на сайте городского округа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BB585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37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33.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</w:t>
            </w:r>
            <w:r>
              <w:rPr>
                <w:color w:val="000000" w:themeColor="text1"/>
                <w:sz w:val="20"/>
              </w:rPr>
              <w:t>«</w:t>
            </w:r>
            <w:r w:rsidRPr="00750696">
              <w:rPr>
                <w:color w:val="000000" w:themeColor="text1"/>
                <w:sz w:val="20"/>
              </w:rPr>
              <w:t>О внедрении программы профилактики ВИЧ-инфекции в образовательные учреждения Свердловской области</w:t>
            </w:r>
            <w:r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BB5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34.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BB5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35.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BB58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36.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на территории городского округа </w:t>
            </w:r>
            <w:r>
              <w:rPr>
                <w:color w:val="000000" w:themeColor="text1"/>
                <w:sz w:val="20"/>
              </w:rPr>
              <w:t>«</w:t>
            </w:r>
            <w:r w:rsidRPr="00750696">
              <w:rPr>
                <w:color w:val="000000" w:themeColor="text1"/>
                <w:sz w:val="20"/>
              </w:rPr>
              <w:t>телефона доверия</w:t>
            </w:r>
            <w:r>
              <w:rPr>
                <w:color w:val="000000" w:themeColor="text1"/>
                <w:sz w:val="20"/>
              </w:rPr>
              <w:t>»</w:t>
            </w:r>
            <w:r w:rsidRPr="00750696">
              <w:rPr>
                <w:color w:val="000000" w:themeColor="text1"/>
                <w:sz w:val="20"/>
              </w:rPr>
              <w:t xml:space="preserve">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37. </w:t>
            </w:r>
          </w:p>
          <w:p w:rsidR="00BD2B3B" w:rsidRPr="00750696" w:rsidRDefault="00BD2B3B" w:rsidP="004E4DF4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BD2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4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38.</w:t>
            </w:r>
          </w:p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1089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BD2B3B" w:rsidRPr="00750696" w:rsidTr="004E4DF4">
        <w:tc>
          <w:tcPr>
            <w:tcW w:w="960" w:type="dxa"/>
          </w:tcPr>
          <w:p w:rsidR="00BD2B3B" w:rsidRPr="00750696" w:rsidRDefault="00BD2B3B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</w:t>
            </w:r>
            <w:bookmarkStart w:id="1" w:name="_GoBack"/>
            <w:bookmarkEnd w:id="1"/>
          </w:p>
        </w:tc>
        <w:tc>
          <w:tcPr>
            <w:tcW w:w="2874" w:type="dxa"/>
          </w:tcPr>
          <w:p w:rsidR="00BD2B3B" w:rsidRPr="00750696" w:rsidRDefault="00BD2B3B" w:rsidP="0075069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1089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1089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BD2B3B" w:rsidRPr="00750696" w:rsidRDefault="00BD2B3B" w:rsidP="00B077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</w:tbl>
    <w:p w:rsidR="00CF7E89" w:rsidRPr="00750696" w:rsidRDefault="00CF7E89" w:rsidP="00CF7E89">
      <w:pPr>
        <w:spacing w:after="200" w:line="276" w:lineRule="auto"/>
        <w:rPr>
          <w:color w:val="000000" w:themeColor="text1"/>
          <w:sz w:val="20"/>
        </w:rPr>
      </w:pPr>
    </w:p>
    <w:p w:rsidR="00CF7E89" w:rsidRPr="00750696" w:rsidRDefault="00CF7E89" w:rsidP="00CF7E89">
      <w:pPr>
        <w:jc w:val="both"/>
        <w:rPr>
          <w:color w:val="000000" w:themeColor="text1"/>
          <w:szCs w:val="28"/>
        </w:rPr>
      </w:pPr>
    </w:p>
    <w:p w:rsidR="00CF7E89" w:rsidRPr="00750696" w:rsidRDefault="00CF7E89" w:rsidP="00CF7E89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 w:themeColor="text1"/>
          <w:szCs w:val="28"/>
        </w:rPr>
      </w:pPr>
    </w:p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6C655D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8735B"/>
    <w:rsid w:val="00012401"/>
    <w:rsid w:val="000A2592"/>
    <w:rsid w:val="002176C3"/>
    <w:rsid w:val="0022140F"/>
    <w:rsid w:val="002615C5"/>
    <w:rsid w:val="0032095F"/>
    <w:rsid w:val="0032118B"/>
    <w:rsid w:val="0038735B"/>
    <w:rsid w:val="003B6DE5"/>
    <w:rsid w:val="004018F2"/>
    <w:rsid w:val="004847A4"/>
    <w:rsid w:val="004E4DF4"/>
    <w:rsid w:val="004F5F0E"/>
    <w:rsid w:val="00535EFC"/>
    <w:rsid w:val="005A2D13"/>
    <w:rsid w:val="005C702F"/>
    <w:rsid w:val="00686B98"/>
    <w:rsid w:val="006C655D"/>
    <w:rsid w:val="00730456"/>
    <w:rsid w:val="00750696"/>
    <w:rsid w:val="00770227"/>
    <w:rsid w:val="00774ADF"/>
    <w:rsid w:val="007C36D5"/>
    <w:rsid w:val="008037CB"/>
    <w:rsid w:val="00827E4B"/>
    <w:rsid w:val="008C5184"/>
    <w:rsid w:val="008D23A6"/>
    <w:rsid w:val="008E0439"/>
    <w:rsid w:val="008E7FFC"/>
    <w:rsid w:val="009911B7"/>
    <w:rsid w:val="009F5D35"/>
    <w:rsid w:val="00AB5635"/>
    <w:rsid w:val="00BC37B6"/>
    <w:rsid w:val="00BD2B3B"/>
    <w:rsid w:val="00C11A26"/>
    <w:rsid w:val="00CF7E89"/>
    <w:rsid w:val="00D25691"/>
    <w:rsid w:val="00DB2BF5"/>
    <w:rsid w:val="00E60F44"/>
    <w:rsid w:val="00EF1FDA"/>
    <w:rsid w:val="00F317E3"/>
    <w:rsid w:val="00F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9CDA-70BC-4476-A83E-A324E6F5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cp:lastPrinted>2018-12-11T09:42:00Z</cp:lastPrinted>
  <dcterms:created xsi:type="dcterms:W3CDTF">2019-01-30T10:47:00Z</dcterms:created>
  <dcterms:modified xsi:type="dcterms:W3CDTF">2019-02-18T05:43:00Z</dcterms:modified>
</cp:coreProperties>
</file>