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9" w:rsidRDefault="00F164A9" w:rsidP="00167209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66750"/>
            <wp:effectExtent l="0" t="0" r="0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40" w:rsidRDefault="004E2D40" w:rsidP="004E2D40">
      <w:pPr>
        <w:tabs>
          <w:tab w:val="left" w:pos="851"/>
          <w:tab w:val="left" w:pos="5245"/>
        </w:tabs>
        <w:jc w:val="center"/>
        <w:rPr>
          <w:sz w:val="18"/>
          <w:szCs w:val="18"/>
        </w:rPr>
      </w:pPr>
    </w:p>
    <w:p w:rsidR="004E2D40" w:rsidRDefault="004E2D40" w:rsidP="004E2D40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E2D40" w:rsidRDefault="004E2D40" w:rsidP="004E2D40">
      <w:pPr>
        <w:jc w:val="center"/>
        <w:rPr>
          <w:b/>
        </w:rPr>
      </w:pPr>
      <w:r>
        <w:rPr>
          <w:b/>
        </w:rPr>
        <w:t>НИЖНЯЯ САЛДА</w:t>
      </w:r>
    </w:p>
    <w:p w:rsidR="004E2D40" w:rsidRDefault="004E2D40" w:rsidP="004E2D40">
      <w:pPr>
        <w:jc w:val="center"/>
        <w:rPr>
          <w:b/>
        </w:rPr>
      </w:pPr>
    </w:p>
    <w:p w:rsidR="004E2D40" w:rsidRDefault="004E2D40" w:rsidP="004E2D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E2D40" w:rsidRDefault="004E2D40" w:rsidP="004E2D40"/>
    <w:p w:rsidR="004E2D40" w:rsidRDefault="004E2D40" w:rsidP="004E2D40"/>
    <w:p w:rsidR="004E2D40" w:rsidRDefault="0063341D" w:rsidP="004E2D40">
      <w:r>
        <w:rPr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plwiLk4C&#10;AABZBAAADgAAAAAAAAAAAAAAAAAuAgAAZHJzL2Uyb0RvYy54bWxQSwECLQAUAAYACAAAACEAr+JN&#10;StcAAAAEAQAADwAAAAAAAAAAAAAAAACoBAAAZHJzL2Rvd25yZXYueG1sUEsFBgAAAAAEAAQA8wAA&#10;AKwFAAAAAA==&#10;" strokeweight="2.5pt"/>
        </w:pict>
      </w:r>
    </w:p>
    <w:p w:rsidR="004E2D40" w:rsidRDefault="004800BD" w:rsidP="004E2D40">
      <w:pPr>
        <w:jc w:val="both"/>
      </w:pPr>
      <w:r>
        <w:t>25.10.</w:t>
      </w:r>
      <w:r w:rsidR="00572032">
        <w:t>.</w:t>
      </w:r>
      <w:r w:rsidR="002402DB">
        <w:t>201</w:t>
      </w:r>
      <w:r w:rsidR="002402DB" w:rsidRPr="002402DB">
        <w:t>3</w:t>
      </w:r>
      <w:r w:rsidR="004E2D40">
        <w:t xml:space="preserve">                                                          № </w:t>
      </w:r>
      <w:r>
        <w:t>1050</w:t>
      </w:r>
    </w:p>
    <w:p w:rsidR="004E2D40" w:rsidRDefault="004E2D40" w:rsidP="004E2D40">
      <w:pPr>
        <w:jc w:val="both"/>
      </w:pPr>
    </w:p>
    <w:p w:rsidR="004E2D40" w:rsidRDefault="004E2D40" w:rsidP="004E2D40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Нижняя Салда</w:t>
      </w:r>
    </w:p>
    <w:p w:rsidR="004E2D40" w:rsidRDefault="004E2D40" w:rsidP="004E2D40">
      <w:pPr>
        <w:pStyle w:val="ConsPlusTitle"/>
        <w:widowControl/>
        <w:jc w:val="center"/>
        <w:rPr>
          <w:i/>
          <w:sz w:val="28"/>
          <w:szCs w:val="28"/>
        </w:rPr>
      </w:pPr>
    </w:p>
    <w:p w:rsidR="004E2D40" w:rsidRPr="003A387D" w:rsidRDefault="004E2D40" w:rsidP="00A33974">
      <w:pPr>
        <w:pStyle w:val="ConsPlusTitle"/>
        <w:widowControl/>
        <w:jc w:val="center"/>
        <w:rPr>
          <w:rFonts w:eastAsia="Calibri"/>
          <w:i/>
          <w:iCs/>
          <w:sz w:val="28"/>
          <w:szCs w:val="28"/>
        </w:rPr>
      </w:pPr>
      <w:proofErr w:type="gramStart"/>
      <w:r>
        <w:rPr>
          <w:i/>
          <w:sz w:val="28"/>
          <w:szCs w:val="28"/>
        </w:rPr>
        <w:t>О</w:t>
      </w:r>
      <w:r w:rsidR="00F6770B">
        <w:rPr>
          <w:i/>
          <w:sz w:val="28"/>
          <w:szCs w:val="28"/>
        </w:rPr>
        <w:t>б утверждении Порядка</w:t>
      </w:r>
      <w:r>
        <w:rPr>
          <w:i/>
          <w:sz w:val="28"/>
          <w:szCs w:val="28"/>
        </w:rPr>
        <w:t xml:space="preserve"> расходования </w:t>
      </w:r>
      <w:r w:rsidR="001C5C05">
        <w:rPr>
          <w:i/>
          <w:sz w:val="28"/>
          <w:szCs w:val="28"/>
        </w:rPr>
        <w:t xml:space="preserve">средств </w:t>
      </w:r>
      <w:r>
        <w:rPr>
          <w:i/>
          <w:sz w:val="28"/>
          <w:szCs w:val="28"/>
        </w:rPr>
        <w:t>полученных из областного бюджета</w:t>
      </w:r>
      <w:r>
        <w:rPr>
          <w:rFonts w:eastAsia="Calibri"/>
          <w:b w:val="0"/>
          <w:bCs w:val="0"/>
          <w:i/>
          <w:iCs/>
        </w:rPr>
        <w:t xml:space="preserve"> </w:t>
      </w:r>
      <w:r w:rsidR="001C5C05" w:rsidRPr="001C5C05">
        <w:rPr>
          <w:rFonts w:eastAsia="Calibri"/>
          <w:bCs w:val="0"/>
          <w:i/>
          <w:iCs/>
          <w:sz w:val="28"/>
          <w:szCs w:val="28"/>
        </w:rPr>
        <w:t>в виде</w:t>
      </w:r>
      <w:r w:rsidR="001C5C05">
        <w:rPr>
          <w:rFonts w:eastAsia="Calibri"/>
          <w:b w:val="0"/>
          <w:bCs w:val="0"/>
          <w:i/>
          <w:iCs/>
          <w:sz w:val="28"/>
          <w:szCs w:val="28"/>
        </w:rPr>
        <w:t xml:space="preserve"> </w:t>
      </w:r>
      <w:r w:rsidR="00570273">
        <w:rPr>
          <w:rFonts w:eastAsia="Calibri"/>
          <w:bCs w:val="0"/>
          <w:i/>
          <w:iCs/>
          <w:sz w:val="28"/>
          <w:szCs w:val="28"/>
        </w:rPr>
        <w:t>субсидий</w:t>
      </w:r>
      <w:r w:rsidRPr="00A33974">
        <w:rPr>
          <w:rFonts w:eastAsia="Calibri"/>
          <w:bCs w:val="0"/>
          <w:i/>
          <w:iCs/>
          <w:sz w:val="28"/>
          <w:szCs w:val="28"/>
        </w:rPr>
        <w:t xml:space="preserve"> на </w:t>
      </w:r>
      <w:r w:rsidR="002402DB">
        <w:rPr>
          <w:rFonts w:eastAsia="Calibri"/>
          <w:bCs w:val="0"/>
          <w:i/>
          <w:iCs/>
          <w:sz w:val="28"/>
          <w:szCs w:val="28"/>
        </w:rPr>
        <w:t>реализацию мер по поэтапному повышению</w:t>
      </w:r>
      <w:proofErr w:type="gramEnd"/>
      <w:r w:rsidR="002402DB">
        <w:rPr>
          <w:rFonts w:eastAsia="Calibri"/>
          <w:bCs w:val="0"/>
          <w:i/>
          <w:iCs/>
          <w:sz w:val="28"/>
          <w:szCs w:val="28"/>
        </w:rPr>
        <w:t xml:space="preserve"> заработной платы работников</w:t>
      </w:r>
      <w:r w:rsidR="001C5C05">
        <w:rPr>
          <w:rFonts w:eastAsia="Calibri"/>
          <w:bCs w:val="0"/>
          <w:i/>
          <w:iCs/>
          <w:sz w:val="28"/>
          <w:szCs w:val="28"/>
        </w:rPr>
        <w:t xml:space="preserve"> </w:t>
      </w:r>
      <w:r w:rsidR="002402DB">
        <w:rPr>
          <w:rFonts w:eastAsia="Calibri"/>
          <w:bCs w:val="0"/>
          <w:i/>
          <w:iCs/>
          <w:sz w:val="28"/>
          <w:szCs w:val="28"/>
        </w:rPr>
        <w:t>муниципальных учреждений культуры в 2013</w:t>
      </w:r>
      <w:r w:rsidR="003A387D">
        <w:rPr>
          <w:rFonts w:eastAsia="Calibri"/>
          <w:bCs w:val="0"/>
          <w:i/>
          <w:iCs/>
          <w:sz w:val="28"/>
          <w:szCs w:val="28"/>
        </w:rPr>
        <w:t>году</w:t>
      </w:r>
    </w:p>
    <w:p w:rsidR="004E2D40" w:rsidRDefault="004E2D40" w:rsidP="004E2D40">
      <w:pPr>
        <w:jc w:val="center"/>
      </w:pPr>
    </w:p>
    <w:tbl>
      <w:tblPr>
        <w:tblW w:w="0" w:type="auto"/>
        <w:tblInd w:w="468" w:type="dxa"/>
        <w:tblLook w:val="01E0"/>
      </w:tblPr>
      <w:tblGrid>
        <w:gridCol w:w="8280"/>
      </w:tblGrid>
      <w:tr w:rsidR="004E2D40" w:rsidTr="004E2D40">
        <w:tc>
          <w:tcPr>
            <w:tcW w:w="8280" w:type="dxa"/>
            <w:hideMark/>
          </w:tcPr>
          <w:p w:rsidR="004E2D40" w:rsidRDefault="004E2D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E2D40" w:rsidRPr="00ED0049" w:rsidRDefault="00235D75" w:rsidP="004877C7">
      <w:pPr>
        <w:ind w:firstLine="851"/>
        <w:jc w:val="both"/>
        <w:rPr>
          <w:rFonts w:eastAsia="Calibri"/>
          <w:bCs/>
          <w:iCs/>
        </w:rPr>
      </w:pPr>
      <w:proofErr w:type="gramStart"/>
      <w:r>
        <w:rPr>
          <w:rFonts w:eastAsia="Calibri"/>
          <w:bCs/>
          <w:iCs/>
        </w:rPr>
        <w:t xml:space="preserve">В соответствии с </w:t>
      </w:r>
      <w:r w:rsidR="00E86E49">
        <w:rPr>
          <w:rFonts w:eastAsia="Calibri"/>
          <w:bCs/>
          <w:iCs/>
        </w:rPr>
        <w:t>Постановлением Правительства Свердловской области от 16 июля 2013 года № 919-ПП «</w:t>
      </w:r>
      <w:r w:rsidR="00E86E49" w:rsidRPr="00E505AD">
        <w:rPr>
          <w:color w:val="000000"/>
        </w:rPr>
        <w:t>О</w:t>
      </w:r>
      <w:r w:rsidR="00E86E49">
        <w:rPr>
          <w:color w:val="000000"/>
        </w:rPr>
        <w:t>б</w:t>
      </w:r>
      <w:r w:rsidR="00E86E49" w:rsidRPr="00E505AD">
        <w:rPr>
          <w:color w:val="000000"/>
        </w:rPr>
        <w:t xml:space="preserve"> </w:t>
      </w:r>
      <w:r>
        <w:rPr>
          <w:color w:val="000000"/>
        </w:rPr>
        <w:t>утверждении По</w:t>
      </w:r>
      <w:r w:rsidR="00E86E49">
        <w:rPr>
          <w:color w:val="000000"/>
        </w:rPr>
        <w:t>рядка и условий предоставления</w:t>
      </w:r>
      <w:r w:rsidR="00895A10">
        <w:rPr>
          <w:color w:val="000000"/>
        </w:rPr>
        <w:t xml:space="preserve"> субсидий </w:t>
      </w:r>
      <w:r w:rsidR="00E86E49">
        <w:rPr>
          <w:color w:val="000000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реализацию мер по поэтапному повышению средней заработной платы работников муниципальных учреждений культуры в 2013 году», </w:t>
      </w:r>
      <w:r w:rsidR="00B637A7">
        <w:t>руководствуясь Уставом городского округа Нижняя Салда</w:t>
      </w:r>
      <w:r w:rsidR="00F164A9">
        <w:t>, п</w:t>
      </w:r>
      <w:r w:rsidR="00570273">
        <w:t>остановлением администрации городского о</w:t>
      </w:r>
      <w:r>
        <w:t>круга Нижняя</w:t>
      </w:r>
      <w:proofErr w:type="gramEnd"/>
      <w:r>
        <w:t xml:space="preserve"> Салда от 17.10. 2013</w:t>
      </w:r>
      <w:r w:rsidR="00570273">
        <w:t xml:space="preserve"> № 1017 « О поэтапном повышении оплаты труда работников муниципальных учреждений»</w:t>
      </w:r>
      <w:r w:rsidR="004E2D40">
        <w:rPr>
          <w:color w:val="000000"/>
        </w:rPr>
        <w:t xml:space="preserve"> администрация городского округа Нижняя Салда </w:t>
      </w:r>
    </w:p>
    <w:p w:rsidR="004E2D40" w:rsidRDefault="004E2D40" w:rsidP="00803C32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ПОСТАНОВЛЯЕТ:</w:t>
      </w:r>
    </w:p>
    <w:p w:rsidR="004E2D40" w:rsidRDefault="004E2D40" w:rsidP="00ED004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ED0049">
        <w:rPr>
          <w:b w:val="0"/>
          <w:sz w:val="28"/>
          <w:szCs w:val="28"/>
        </w:rPr>
        <w:t>Порядо</w:t>
      </w:r>
      <w:r w:rsidR="00F6770B">
        <w:rPr>
          <w:b w:val="0"/>
          <w:sz w:val="28"/>
          <w:szCs w:val="28"/>
        </w:rPr>
        <w:t xml:space="preserve">к </w:t>
      </w:r>
      <w:r w:rsidR="00ED0049" w:rsidRPr="00ED0049">
        <w:rPr>
          <w:b w:val="0"/>
          <w:sz w:val="28"/>
          <w:szCs w:val="28"/>
        </w:rPr>
        <w:t xml:space="preserve">расходования </w:t>
      </w:r>
      <w:r w:rsidR="001C5C05">
        <w:rPr>
          <w:b w:val="0"/>
          <w:sz w:val="28"/>
          <w:szCs w:val="28"/>
        </w:rPr>
        <w:t xml:space="preserve">средств </w:t>
      </w:r>
      <w:r w:rsidR="00ED0049" w:rsidRPr="00ED0049">
        <w:rPr>
          <w:b w:val="0"/>
          <w:sz w:val="28"/>
          <w:szCs w:val="28"/>
        </w:rPr>
        <w:t>полученных из областного бюджета</w:t>
      </w:r>
      <w:r w:rsidR="00ED0049" w:rsidRPr="00ED0049">
        <w:rPr>
          <w:rFonts w:eastAsia="Calibri"/>
          <w:b w:val="0"/>
          <w:bCs w:val="0"/>
          <w:iCs/>
          <w:sz w:val="28"/>
          <w:szCs w:val="28"/>
        </w:rPr>
        <w:t xml:space="preserve"> </w:t>
      </w:r>
      <w:r w:rsidR="001C5C05">
        <w:rPr>
          <w:rFonts w:eastAsia="Calibri"/>
          <w:b w:val="0"/>
          <w:bCs w:val="0"/>
          <w:iCs/>
          <w:sz w:val="28"/>
          <w:szCs w:val="28"/>
        </w:rPr>
        <w:t xml:space="preserve">в виде </w:t>
      </w:r>
      <w:r w:rsidR="002402DB">
        <w:rPr>
          <w:rFonts w:eastAsia="Calibri"/>
          <w:b w:val="0"/>
          <w:bCs w:val="0"/>
          <w:iCs/>
          <w:sz w:val="28"/>
          <w:szCs w:val="28"/>
        </w:rPr>
        <w:t>отдельных</w:t>
      </w:r>
      <w:r w:rsidR="00ED0049" w:rsidRPr="00ED0049">
        <w:rPr>
          <w:rFonts w:eastAsia="Calibri"/>
          <w:b w:val="0"/>
          <w:bCs w:val="0"/>
          <w:iCs/>
          <w:sz w:val="28"/>
          <w:szCs w:val="28"/>
        </w:rPr>
        <w:t xml:space="preserve"> межбюджетных трансфер</w:t>
      </w:r>
      <w:r w:rsidR="00696C6C">
        <w:rPr>
          <w:rFonts w:eastAsia="Calibri"/>
          <w:b w:val="0"/>
          <w:bCs w:val="0"/>
          <w:iCs/>
          <w:sz w:val="28"/>
          <w:szCs w:val="28"/>
        </w:rPr>
        <w:t>т</w:t>
      </w:r>
      <w:r w:rsidR="00ED0049" w:rsidRPr="00ED0049">
        <w:rPr>
          <w:rFonts w:eastAsia="Calibri"/>
          <w:b w:val="0"/>
          <w:bCs w:val="0"/>
          <w:iCs/>
          <w:sz w:val="28"/>
          <w:szCs w:val="28"/>
        </w:rPr>
        <w:t xml:space="preserve">ов на </w:t>
      </w:r>
      <w:r w:rsidR="002402DB">
        <w:rPr>
          <w:rFonts w:eastAsia="Calibri"/>
          <w:b w:val="0"/>
          <w:bCs w:val="0"/>
          <w:iCs/>
          <w:sz w:val="28"/>
          <w:szCs w:val="28"/>
        </w:rPr>
        <w:t>реализацию мер по поэтапному повышению заработной платы работников муниципальных учреждений культуры в 2013 году.</w:t>
      </w:r>
    </w:p>
    <w:p w:rsidR="002402DB" w:rsidRDefault="004E2D40" w:rsidP="002402DB">
      <w:pPr>
        <w:pStyle w:val="ConsPlusTitle"/>
        <w:widowControl/>
        <w:ind w:firstLine="851"/>
        <w:jc w:val="both"/>
        <w:rPr>
          <w:rFonts w:eastAsia="Calibri"/>
          <w:b w:val="0"/>
          <w:bCs w:val="0"/>
          <w:iCs/>
          <w:sz w:val="28"/>
          <w:szCs w:val="28"/>
        </w:rPr>
      </w:pPr>
      <w:r w:rsidRPr="002402DB">
        <w:rPr>
          <w:b w:val="0"/>
          <w:sz w:val="28"/>
          <w:szCs w:val="28"/>
        </w:rPr>
        <w:t xml:space="preserve">2. Администрации </w:t>
      </w:r>
      <w:r w:rsidR="00A33974" w:rsidRPr="002402DB">
        <w:rPr>
          <w:b w:val="0"/>
          <w:sz w:val="28"/>
          <w:szCs w:val="28"/>
        </w:rPr>
        <w:t xml:space="preserve">городского округа Нижняя Салда </w:t>
      </w:r>
      <w:r w:rsidRPr="002402DB">
        <w:rPr>
          <w:b w:val="0"/>
          <w:sz w:val="28"/>
          <w:szCs w:val="28"/>
        </w:rPr>
        <w:t xml:space="preserve">заключить с Министерством культуры Свердловской области соглашение о предоставлении </w:t>
      </w:r>
      <w:r w:rsidR="002402DB">
        <w:rPr>
          <w:b w:val="0"/>
          <w:sz w:val="28"/>
          <w:szCs w:val="28"/>
        </w:rPr>
        <w:t>отдельных</w:t>
      </w:r>
      <w:r w:rsidRPr="002402DB">
        <w:rPr>
          <w:b w:val="0"/>
          <w:sz w:val="28"/>
          <w:szCs w:val="28"/>
        </w:rPr>
        <w:t xml:space="preserve"> межбюджетных трансфертов</w:t>
      </w:r>
      <w:r>
        <w:t xml:space="preserve"> </w:t>
      </w:r>
      <w:r w:rsidR="002402DB" w:rsidRPr="00ED0049">
        <w:rPr>
          <w:rFonts w:eastAsia="Calibri"/>
          <w:b w:val="0"/>
          <w:bCs w:val="0"/>
          <w:iCs/>
          <w:sz w:val="28"/>
          <w:szCs w:val="28"/>
        </w:rPr>
        <w:t xml:space="preserve">на </w:t>
      </w:r>
      <w:r w:rsidR="002402DB">
        <w:rPr>
          <w:rFonts w:eastAsia="Calibri"/>
          <w:b w:val="0"/>
          <w:bCs w:val="0"/>
          <w:iCs/>
          <w:sz w:val="28"/>
          <w:szCs w:val="28"/>
        </w:rPr>
        <w:t>реализацию мер по поэтапному повышению заработной платы работников муниципальных учреждений культуры в 2013 году.</w:t>
      </w:r>
    </w:p>
    <w:p w:rsidR="00235D75" w:rsidRDefault="00235D75" w:rsidP="002402DB">
      <w:pPr>
        <w:pStyle w:val="ConsPlusTitle"/>
        <w:widowControl/>
        <w:ind w:firstLine="851"/>
        <w:jc w:val="both"/>
        <w:rPr>
          <w:rFonts w:eastAsia="Calibri"/>
          <w:b w:val="0"/>
          <w:bCs w:val="0"/>
          <w:iCs/>
          <w:sz w:val="28"/>
          <w:szCs w:val="28"/>
        </w:rPr>
      </w:pPr>
    </w:p>
    <w:p w:rsidR="00235D75" w:rsidRPr="00235D75" w:rsidRDefault="00235D75" w:rsidP="002402DB">
      <w:pPr>
        <w:pStyle w:val="ConsPlusTitle"/>
        <w:widowControl/>
        <w:ind w:firstLine="851"/>
        <w:jc w:val="both"/>
        <w:rPr>
          <w:b w:val="0"/>
          <w:sz w:val="20"/>
          <w:szCs w:val="20"/>
        </w:rPr>
      </w:pPr>
      <w:r>
        <w:rPr>
          <w:rFonts w:eastAsia="Calibri"/>
          <w:b w:val="0"/>
          <w:bCs w:val="0"/>
          <w:iCs/>
          <w:sz w:val="20"/>
          <w:szCs w:val="20"/>
        </w:rPr>
        <w:t>818-П</w:t>
      </w:r>
    </w:p>
    <w:p w:rsidR="004E2D40" w:rsidRDefault="00570273" w:rsidP="004E2D40">
      <w:pPr>
        <w:autoSpaceDE w:val="0"/>
        <w:autoSpaceDN w:val="0"/>
        <w:adjustRightInd w:val="0"/>
        <w:ind w:firstLine="851"/>
        <w:jc w:val="both"/>
      </w:pPr>
      <w:r>
        <w:lastRenderedPageBreak/>
        <w:t>3</w:t>
      </w:r>
      <w:r w:rsidR="004E2D40">
        <w:t>. Настоящее постановление опубликова</w:t>
      </w:r>
      <w:r w:rsidR="000D35B8">
        <w:t>ть в газете "Городской вестник – Нижняя Салда" и разместить</w:t>
      </w:r>
      <w:r w:rsidR="004E2D40">
        <w:t xml:space="preserve"> на </w:t>
      </w:r>
      <w:r w:rsidR="00235D75">
        <w:t xml:space="preserve">официальном </w:t>
      </w:r>
      <w:r w:rsidR="004E2D40">
        <w:t>сайте городского округа Нижняя Салда.</w:t>
      </w:r>
    </w:p>
    <w:p w:rsidR="004E2D40" w:rsidRDefault="00167209" w:rsidP="004E2D40">
      <w:pPr>
        <w:spacing w:line="276" w:lineRule="auto"/>
        <w:ind w:firstLine="851"/>
        <w:jc w:val="both"/>
      </w:pPr>
      <w:r>
        <w:t>4</w:t>
      </w:r>
      <w:r w:rsidR="004E2D40">
        <w:t xml:space="preserve">. Контроль </w:t>
      </w:r>
      <w:r w:rsidR="0050135A">
        <w:t>над</w:t>
      </w:r>
      <w:r w:rsidR="004E2D40">
        <w:t xml:space="preserve"> исполнением настоящего постановления возложить на заместителя главы администрации городского округа  Нижняя Салда </w:t>
      </w:r>
      <w:r w:rsidR="002402DB">
        <w:t>Третьякову О. В.</w:t>
      </w:r>
      <w:r w:rsidR="004E2D40">
        <w:t xml:space="preserve"> </w:t>
      </w:r>
    </w:p>
    <w:p w:rsidR="00167209" w:rsidRDefault="00167209" w:rsidP="004E2D40">
      <w:pPr>
        <w:spacing w:line="276" w:lineRule="auto"/>
        <w:ind w:firstLine="851"/>
        <w:jc w:val="both"/>
      </w:pPr>
    </w:p>
    <w:p w:rsidR="00235D75" w:rsidRDefault="00235D75" w:rsidP="004E2D40">
      <w:pPr>
        <w:spacing w:line="276" w:lineRule="auto"/>
        <w:ind w:firstLine="851"/>
        <w:jc w:val="both"/>
      </w:pPr>
    </w:p>
    <w:p w:rsidR="00235D75" w:rsidRDefault="00235D75" w:rsidP="004E2D40">
      <w:pPr>
        <w:spacing w:line="276" w:lineRule="auto"/>
        <w:ind w:firstLine="851"/>
        <w:jc w:val="both"/>
      </w:pPr>
    </w:p>
    <w:p w:rsidR="00235D75" w:rsidRDefault="00235D75" w:rsidP="004E2D40">
      <w:pPr>
        <w:spacing w:line="276" w:lineRule="auto"/>
        <w:ind w:firstLine="851"/>
        <w:jc w:val="both"/>
      </w:pPr>
    </w:p>
    <w:p w:rsidR="004E2D40" w:rsidRDefault="004E2D40" w:rsidP="004E2D40">
      <w:pPr>
        <w:jc w:val="both"/>
      </w:pPr>
      <w:r>
        <w:t>Глава администрации</w:t>
      </w:r>
    </w:p>
    <w:p w:rsidR="004E2D40" w:rsidRDefault="004E2D40" w:rsidP="004E2D40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33974">
        <w:t>С.</w:t>
      </w:r>
      <w:r w:rsidR="00235D75">
        <w:t xml:space="preserve"> </w:t>
      </w:r>
      <w:r w:rsidR="00A33974">
        <w:t>Н.</w:t>
      </w:r>
      <w:r w:rsidR="00235D75">
        <w:t xml:space="preserve"> </w:t>
      </w:r>
      <w:proofErr w:type="spellStart"/>
      <w:r w:rsidR="00A33974">
        <w:t>Гузиков</w:t>
      </w:r>
      <w:proofErr w:type="spellEnd"/>
    </w:p>
    <w:p w:rsidR="00C9512B" w:rsidRDefault="004E2D40" w:rsidP="00C9512B">
      <w:pPr>
        <w:autoSpaceDE w:val="0"/>
        <w:autoSpaceDN w:val="0"/>
        <w:adjustRightInd w:val="0"/>
        <w:ind w:left="5245" w:hanging="425"/>
        <w:jc w:val="both"/>
        <w:outlineLvl w:val="0"/>
        <w:rPr>
          <w:sz w:val="24"/>
          <w:szCs w:val="24"/>
        </w:rPr>
      </w:pPr>
      <w:r>
        <w:br w:type="page"/>
      </w:r>
    </w:p>
    <w:p w:rsidR="00D94F2E" w:rsidRPr="00D94F2E" w:rsidRDefault="00D94F2E" w:rsidP="00C9512B">
      <w:pPr>
        <w:autoSpaceDE w:val="0"/>
        <w:autoSpaceDN w:val="0"/>
        <w:adjustRightInd w:val="0"/>
        <w:ind w:left="5245" w:hanging="425"/>
        <w:jc w:val="both"/>
        <w:outlineLvl w:val="0"/>
        <w:rPr>
          <w:sz w:val="24"/>
          <w:szCs w:val="24"/>
        </w:rPr>
      </w:pPr>
    </w:p>
    <w:p w:rsidR="004E2D40" w:rsidRDefault="00BA5E3E" w:rsidP="004E2D40">
      <w:pPr>
        <w:autoSpaceDE w:val="0"/>
        <w:autoSpaceDN w:val="0"/>
        <w:adjustRightInd w:val="0"/>
        <w:ind w:left="5245"/>
        <w:jc w:val="both"/>
        <w:outlineLvl w:val="0"/>
      </w:pPr>
      <w:r>
        <w:t>Утвержден</w:t>
      </w:r>
    </w:p>
    <w:p w:rsidR="004E2D40" w:rsidRDefault="004E2D40" w:rsidP="004E2D40">
      <w:pPr>
        <w:autoSpaceDE w:val="0"/>
        <w:autoSpaceDN w:val="0"/>
        <w:adjustRightInd w:val="0"/>
        <w:ind w:left="5245"/>
        <w:jc w:val="both"/>
      </w:pPr>
      <w:r>
        <w:t>постановлением администрации городского округа Нижняя Салда</w:t>
      </w:r>
    </w:p>
    <w:p w:rsidR="004E2D40" w:rsidRDefault="002402DB" w:rsidP="004E2D40">
      <w:pPr>
        <w:autoSpaceDE w:val="0"/>
        <w:autoSpaceDN w:val="0"/>
        <w:adjustRightInd w:val="0"/>
        <w:ind w:left="5245"/>
        <w:jc w:val="both"/>
      </w:pPr>
      <w:r>
        <w:t xml:space="preserve">от </w:t>
      </w:r>
      <w:r w:rsidR="00572032">
        <w:t>17.10.</w:t>
      </w:r>
      <w:r>
        <w:t>2013</w:t>
      </w:r>
      <w:r w:rsidR="004E2D40">
        <w:t xml:space="preserve"> №</w:t>
      </w:r>
      <w:r w:rsidR="00572032">
        <w:t xml:space="preserve"> 1017</w:t>
      </w:r>
    </w:p>
    <w:p w:rsidR="004E2D40" w:rsidRDefault="004E2D40" w:rsidP="004E2D40">
      <w:pPr>
        <w:pStyle w:val="ConsPlusTitle"/>
        <w:widowControl/>
        <w:ind w:left="5245"/>
        <w:jc w:val="both"/>
        <w:rPr>
          <w:rFonts w:eastAsia="Calibri"/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« </w:t>
      </w:r>
      <w:proofErr w:type="gramStart"/>
      <w:r>
        <w:rPr>
          <w:b w:val="0"/>
          <w:sz w:val="28"/>
          <w:szCs w:val="28"/>
        </w:rPr>
        <w:t xml:space="preserve">Об утверждении </w:t>
      </w:r>
      <w:r w:rsidR="00A33974">
        <w:rPr>
          <w:b w:val="0"/>
          <w:sz w:val="28"/>
          <w:szCs w:val="28"/>
        </w:rPr>
        <w:t>Порядк</w:t>
      </w:r>
      <w:r w:rsidR="00F6770B">
        <w:rPr>
          <w:b w:val="0"/>
          <w:sz w:val="28"/>
          <w:szCs w:val="28"/>
        </w:rPr>
        <w:t>а</w:t>
      </w:r>
      <w:r w:rsidR="00A33974" w:rsidRPr="00ED0049">
        <w:rPr>
          <w:b w:val="0"/>
          <w:sz w:val="28"/>
          <w:szCs w:val="28"/>
        </w:rPr>
        <w:t xml:space="preserve"> расходования </w:t>
      </w:r>
      <w:r w:rsidR="001C5C05">
        <w:rPr>
          <w:b w:val="0"/>
          <w:sz w:val="28"/>
          <w:szCs w:val="28"/>
        </w:rPr>
        <w:t xml:space="preserve">средств </w:t>
      </w:r>
      <w:r w:rsidR="00A33974" w:rsidRPr="00ED0049">
        <w:rPr>
          <w:b w:val="0"/>
          <w:sz w:val="28"/>
          <w:szCs w:val="28"/>
        </w:rPr>
        <w:t>полученных из областного бюджета</w:t>
      </w:r>
      <w:r w:rsidR="00A33974" w:rsidRPr="00ED0049">
        <w:rPr>
          <w:rFonts w:eastAsia="Calibri"/>
          <w:b w:val="0"/>
          <w:bCs w:val="0"/>
          <w:iCs/>
          <w:sz w:val="28"/>
          <w:szCs w:val="28"/>
        </w:rPr>
        <w:t xml:space="preserve"> </w:t>
      </w:r>
      <w:r w:rsidR="001C5C05">
        <w:rPr>
          <w:rFonts w:eastAsia="Calibri"/>
          <w:b w:val="0"/>
          <w:bCs w:val="0"/>
          <w:iCs/>
          <w:sz w:val="28"/>
          <w:szCs w:val="28"/>
        </w:rPr>
        <w:t xml:space="preserve">в виде </w:t>
      </w:r>
      <w:r w:rsidR="0050135A">
        <w:rPr>
          <w:rFonts w:eastAsia="Calibri"/>
          <w:b w:val="0"/>
          <w:bCs w:val="0"/>
          <w:iCs/>
          <w:sz w:val="28"/>
          <w:szCs w:val="28"/>
        </w:rPr>
        <w:t>субсидий</w:t>
      </w:r>
      <w:r w:rsidR="002402DB" w:rsidRPr="00ED0049">
        <w:rPr>
          <w:rFonts w:eastAsia="Calibri"/>
          <w:b w:val="0"/>
          <w:bCs w:val="0"/>
          <w:iCs/>
          <w:sz w:val="28"/>
          <w:szCs w:val="28"/>
        </w:rPr>
        <w:t xml:space="preserve"> на </w:t>
      </w:r>
      <w:r w:rsidR="002402DB">
        <w:rPr>
          <w:rFonts w:eastAsia="Calibri"/>
          <w:b w:val="0"/>
          <w:bCs w:val="0"/>
          <w:iCs/>
          <w:sz w:val="28"/>
          <w:szCs w:val="28"/>
        </w:rPr>
        <w:t>реализацию мер по поэтапному повышению</w:t>
      </w:r>
      <w:proofErr w:type="gramEnd"/>
      <w:r w:rsidR="002402DB">
        <w:rPr>
          <w:rFonts w:eastAsia="Calibri"/>
          <w:b w:val="0"/>
          <w:bCs w:val="0"/>
          <w:iCs/>
          <w:sz w:val="28"/>
          <w:szCs w:val="28"/>
        </w:rPr>
        <w:t xml:space="preserve"> заработной платы работников муниципальных учреждений культуры в 2013 году»</w:t>
      </w:r>
    </w:p>
    <w:p w:rsidR="002402DB" w:rsidRDefault="002402DB" w:rsidP="004E2D40">
      <w:pPr>
        <w:pStyle w:val="ConsPlusTitle"/>
        <w:widowControl/>
        <w:ind w:left="5245"/>
        <w:jc w:val="both"/>
      </w:pPr>
    </w:p>
    <w:p w:rsidR="002402DB" w:rsidRDefault="00A33974" w:rsidP="002402DB">
      <w:pPr>
        <w:autoSpaceDE w:val="0"/>
        <w:autoSpaceDN w:val="0"/>
        <w:adjustRightInd w:val="0"/>
        <w:ind w:firstLine="851"/>
        <w:jc w:val="center"/>
      </w:pPr>
      <w:r>
        <w:rPr>
          <w:b/>
        </w:rPr>
        <w:t xml:space="preserve">Порядок </w:t>
      </w:r>
      <w:r w:rsidRPr="00ED0049">
        <w:rPr>
          <w:b/>
        </w:rPr>
        <w:t xml:space="preserve">расходования </w:t>
      </w:r>
      <w:r w:rsidR="001C5C05">
        <w:rPr>
          <w:b/>
        </w:rPr>
        <w:t xml:space="preserve">средств </w:t>
      </w:r>
      <w:r w:rsidRPr="00ED0049">
        <w:rPr>
          <w:b/>
        </w:rPr>
        <w:t>полученных из областного бюджета</w:t>
      </w:r>
      <w:r w:rsidRPr="00ED0049">
        <w:rPr>
          <w:rFonts w:eastAsia="Calibri"/>
          <w:b/>
          <w:bCs/>
          <w:iCs/>
        </w:rPr>
        <w:t xml:space="preserve"> </w:t>
      </w:r>
      <w:r w:rsidR="001C5C05">
        <w:rPr>
          <w:rFonts w:eastAsia="Calibri"/>
          <w:b/>
          <w:bCs/>
          <w:iCs/>
        </w:rPr>
        <w:t xml:space="preserve">в виде </w:t>
      </w:r>
      <w:r w:rsidR="0050135A">
        <w:rPr>
          <w:rFonts w:eastAsia="Calibri"/>
          <w:b/>
          <w:bCs/>
          <w:iCs/>
        </w:rPr>
        <w:t>субсидий</w:t>
      </w:r>
      <w:r w:rsidR="002402DB" w:rsidRPr="00ED0049">
        <w:rPr>
          <w:rFonts w:eastAsia="Calibri"/>
          <w:iCs/>
        </w:rPr>
        <w:t xml:space="preserve"> </w:t>
      </w:r>
      <w:r w:rsidR="002402DB" w:rsidRPr="002402DB">
        <w:rPr>
          <w:rFonts w:eastAsia="Calibri"/>
          <w:b/>
          <w:iCs/>
        </w:rPr>
        <w:t>на</w:t>
      </w:r>
      <w:r w:rsidR="002402DB" w:rsidRPr="00ED0049">
        <w:rPr>
          <w:rFonts w:eastAsia="Calibri"/>
          <w:iCs/>
        </w:rPr>
        <w:t xml:space="preserve"> </w:t>
      </w:r>
      <w:r w:rsidR="002402DB">
        <w:rPr>
          <w:rFonts w:eastAsia="Calibri"/>
          <w:b/>
          <w:bCs/>
          <w:iCs/>
        </w:rPr>
        <w:t>реализацию мер по поэтапному повышению заработной платы работников муниципальных учреждений культуры в 2013 году</w:t>
      </w:r>
      <w:r w:rsidR="002402DB">
        <w:t xml:space="preserve"> </w:t>
      </w:r>
    </w:p>
    <w:p w:rsidR="002402DB" w:rsidRDefault="002402DB" w:rsidP="002402DB">
      <w:pPr>
        <w:autoSpaceDE w:val="0"/>
        <w:autoSpaceDN w:val="0"/>
        <w:adjustRightInd w:val="0"/>
        <w:ind w:firstLine="851"/>
        <w:jc w:val="center"/>
      </w:pPr>
    </w:p>
    <w:p w:rsidR="002402DB" w:rsidRDefault="004E2D40" w:rsidP="002402D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</w:rPr>
      </w:pPr>
      <w:r>
        <w:t xml:space="preserve">1. Настоящий Порядок определяет условия расходования </w:t>
      </w:r>
      <w:r w:rsidR="00F6770B">
        <w:t>средс</w:t>
      </w:r>
      <w:r w:rsidR="00802143">
        <w:t>тв</w:t>
      </w:r>
      <w:r>
        <w:t xml:space="preserve"> полученных в виде </w:t>
      </w:r>
      <w:r w:rsidR="0050135A">
        <w:rPr>
          <w:rFonts w:eastAsia="Calibri"/>
          <w:bCs/>
          <w:iCs/>
        </w:rPr>
        <w:t>субсидий</w:t>
      </w:r>
      <w:r w:rsidR="002402DB" w:rsidRPr="00ED0049">
        <w:rPr>
          <w:rFonts w:eastAsia="Calibri"/>
          <w:iCs/>
        </w:rPr>
        <w:t xml:space="preserve"> на </w:t>
      </w:r>
      <w:r w:rsidR="002402DB" w:rsidRPr="002402DB">
        <w:rPr>
          <w:rFonts w:eastAsia="Calibri"/>
          <w:bCs/>
          <w:iCs/>
        </w:rPr>
        <w:t>реализацию мер по поэтапному повышению заработной платы работников муниципальных учреждений культуры в 2013 году</w:t>
      </w:r>
    </w:p>
    <w:p w:rsidR="00D2551C" w:rsidRDefault="0050135A" w:rsidP="0050135A">
      <w:pPr>
        <w:ind w:firstLine="851"/>
        <w:jc w:val="both"/>
      </w:pPr>
      <w:proofErr w:type="gramStart"/>
      <w:r>
        <w:t>2</w:t>
      </w:r>
      <w:r w:rsidR="00D2551C">
        <w:t xml:space="preserve">.Главным администратором </w:t>
      </w:r>
      <w:r w:rsidR="008F3DF0">
        <w:t xml:space="preserve">доходов </w:t>
      </w:r>
      <w:r w:rsidR="00D2551C">
        <w:t>бюджетных средств городског</w:t>
      </w:r>
      <w:r w:rsidR="008F3DF0">
        <w:t>о округа Нижняя Салда и главным  распорядителем</w:t>
      </w:r>
      <w:r w:rsidR="00D2551C">
        <w:t xml:space="preserve"> средств бюджета городского округа Нижняя Салда, полученных из областного бюджета в виде </w:t>
      </w:r>
      <w:r>
        <w:rPr>
          <w:rFonts w:eastAsia="Calibri"/>
          <w:bCs/>
          <w:iCs/>
        </w:rPr>
        <w:t>субсидий</w:t>
      </w:r>
      <w:r w:rsidR="002402DB" w:rsidRPr="00ED0049">
        <w:rPr>
          <w:rFonts w:eastAsia="Calibri"/>
          <w:iCs/>
        </w:rPr>
        <w:t xml:space="preserve"> </w:t>
      </w:r>
      <w:r w:rsidR="002402DB" w:rsidRPr="002402DB">
        <w:rPr>
          <w:rFonts w:eastAsia="Calibri"/>
          <w:iCs/>
        </w:rPr>
        <w:t xml:space="preserve">на </w:t>
      </w:r>
      <w:r w:rsidR="002402DB" w:rsidRPr="002402DB">
        <w:rPr>
          <w:rFonts w:eastAsia="Calibri"/>
          <w:bCs/>
          <w:iCs/>
        </w:rPr>
        <w:t>реализацию мер по поэтапному повышению заработной платы работников муниципальных учреждений культуры в 2013 году</w:t>
      </w:r>
      <w:r w:rsidR="002402DB" w:rsidRPr="002402DB">
        <w:t xml:space="preserve"> </w:t>
      </w:r>
      <w:r w:rsidR="008F3DF0">
        <w:t>является Муниципальный орган управления образованием, культурой, молодежной политикой и спортом</w:t>
      </w:r>
      <w:r w:rsidR="006F77D9" w:rsidRPr="006F77D9">
        <w:t xml:space="preserve"> </w:t>
      </w:r>
      <w:r w:rsidR="006F77D9">
        <w:t>городского округа Нижняя Салда</w:t>
      </w:r>
      <w:r w:rsidR="008F3DF0">
        <w:t>.</w:t>
      </w:r>
      <w:proofErr w:type="gramEnd"/>
    </w:p>
    <w:p w:rsidR="00C45BD4" w:rsidRPr="00E505AD" w:rsidRDefault="0050135A" w:rsidP="001D3775">
      <w:pPr>
        <w:ind w:firstLine="851"/>
        <w:jc w:val="both"/>
        <w:rPr>
          <w:color w:val="000000"/>
        </w:rPr>
      </w:pPr>
      <w:r>
        <w:t>3</w:t>
      </w:r>
      <w:r w:rsidR="004E2D40">
        <w:t xml:space="preserve">. </w:t>
      </w:r>
      <w:proofErr w:type="gramStart"/>
      <w:r w:rsidR="004E2D40">
        <w:t xml:space="preserve">Средства, полученные в виде </w:t>
      </w:r>
      <w:r>
        <w:t>субсидий</w:t>
      </w:r>
      <w:r w:rsidR="004E2D40">
        <w:t xml:space="preserve"> предоставляются бюджету городского округа Нижняя </w:t>
      </w:r>
      <w:r w:rsidR="004E2D40" w:rsidRPr="00C45BD4">
        <w:t>Салда</w:t>
      </w:r>
      <w:r w:rsidR="00C45BD4" w:rsidRPr="00C45BD4">
        <w:rPr>
          <w:color w:val="000000"/>
        </w:rPr>
        <w:t xml:space="preserve"> </w:t>
      </w:r>
      <w:r>
        <w:rPr>
          <w:color w:val="000000"/>
        </w:rPr>
        <w:t>зачисляются в доходы городского округа Нижняя Салда по КБК 90620202999040000151 «Прочие субсидии бюджетам городских округов» и расходуются</w:t>
      </w:r>
      <w:r w:rsidR="00895A10">
        <w:rPr>
          <w:color w:val="000000"/>
        </w:rPr>
        <w:t xml:space="preserve"> </w:t>
      </w:r>
      <w:r w:rsidR="00C45BD4" w:rsidRPr="00E505AD">
        <w:rPr>
          <w:color w:val="000000"/>
        </w:rPr>
        <w:t>согласно ведомственной структуре расходов по разделу 0800 "Культура, кинематография", подразделу 0801 "Культура", целевой статье 5240600 "Субсидии на реализацию мер по поэтапному повышению средней заработной платы работников муниципа</w:t>
      </w:r>
      <w:r>
        <w:rPr>
          <w:color w:val="000000"/>
        </w:rPr>
        <w:t>льных учреждений культуры", видам расходов 11</w:t>
      </w:r>
      <w:r w:rsidR="00C45BD4" w:rsidRPr="00E505AD">
        <w:rPr>
          <w:color w:val="000000"/>
        </w:rPr>
        <w:t>1</w:t>
      </w:r>
      <w:proofErr w:type="gramEnd"/>
      <w:r w:rsidR="00C45BD4" w:rsidRPr="00E505AD">
        <w:rPr>
          <w:color w:val="000000"/>
        </w:rPr>
        <w:t xml:space="preserve"> "</w:t>
      </w:r>
      <w:r>
        <w:rPr>
          <w:color w:val="000000"/>
        </w:rPr>
        <w:t>Фонд оплаты труда и страховые взносы</w:t>
      </w:r>
      <w:r w:rsidR="00C45BD4" w:rsidRPr="00E505AD">
        <w:rPr>
          <w:color w:val="000000"/>
        </w:rPr>
        <w:t>"</w:t>
      </w:r>
      <w:r>
        <w:rPr>
          <w:color w:val="000000"/>
        </w:rPr>
        <w:t>, 611 «Субсидии бюджетным учреждениям на финансовое обеспечение муниципального задания на оказание муниципальных услуг (выполнение работ)»</w:t>
      </w:r>
      <w:r w:rsidR="00C45BD4" w:rsidRPr="00E505AD">
        <w:rPr>
          <w:color w:val="000000"/>
        </w:rPr>
        <w:t>.</w:t>
      </w:r>
    </w:p>
    <w:p w:rsidR="00C45BD4" w:rsidRDefault="0050135A" w:rsidP="002402D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4</w:t>
      </w:r>
      <w:r w:rsidR="004E2D40">
        <w:t xml:space="preserve">. </w:t>
      </w:r>
      <w:proofErr w:type="gramStart"/>
      <w:r>
        <w:t>Средства, полученные в виде с</w:t>
      </w:r>
      <w:r>
        <w:rPr>
          <w:color w:val="000000"/>
        </w:rPr>
        <w:t>убсидий из областного бюджета</w:t>
      </w:r>
      <w:r w:rsidR="00C45BD4">
        <w:rPr>
          <w:color w:val="000000"/>
        </w:rPr>
        <w:t xml:space="preserve"> бюджету</w:t>
      </w:r>
      <w:r w:rsidR="00C45BD4" w:rsidRPr="00E505AD">
        <w:rPr>
          <w:color w:val="000000"/>
        </w:rPr>
        <w:t xml:space="preserve"> </w:t>
      </w:r>
      <w:r w:rsidR="00C45BD4">
        <w:rPr>
          <w:color w:val="000000"/>
        </w:rPr>
        <w:t>городского округа Нижняя Салда</w:t>
      </w:r>
      <w:r w:rsidR="00C45BD4" w:rsidRPr="00E505AD">
        <w:rPr>
          <w:color w:val="000000"/>
        </w:rPr>
        <w:t xml:space="preserve"> направляются для </w:t>
      </w:r>
      <w:r w:rsidR="00C45BD4" w:rsidRPr="00E505AD">
        <w:rPr>
          <w:color w:val="000000"/>
        </w:rPr>
        <w:lastRenderedPageBreak/>
        <w:t xml:space="preserve">финансирования расходов </w:t>
      </w:r>
      <w:r w:rsidR="00C45BD4">
        <w:rPr>
          <w:color w:val="000000"/>
        </w:rPr>
        <w:t>бюджета</w:t>
      </w:r>
      <w:r w:rsidR="00C45BD4" w:rsidRPr="00E505AD">
        <w:rPr>
          <w:color w:val="000000"/>
        </w:rPr>
        <w:t xml:space="preserve"> на реализацию мер по поэтапному повышению средней заработной платы работников муниципальных учреждений культуры в 2013 году до среднегодового показателя не менее чем 56,1 процента от средней заработной платы по экономике в Свердловской области (28365 рублей) - 15913 рублей.</w:t>
      </w:r>
      <w:proofErr w:type="gramEnd"/>
    </w:p>
    <w:p w:rsidR="0050135A" w:rsidRDefault="0050135A" w:rsidP="0050135A">
      <w:pPr>
        <w:autoSpaceDE w:val="0"/>
        <w:autoSpaceDN w:val="0"/>
        <w:adjustRightInd w:val="0"/>
        <w:ind w:firstLine="851"/>
        <w:jc w:val="both"/>
      </w:pPr>
      <w:r>
        <w:t>5. Средства, полученные из областного бюджета в  виде субсидий, носят целевой характер и не могут быть использованы на иные цели.</w:t>
      </w:r>
    </w:p>
    <w:p w:rsidR="0050135A" w:rsidRDefault="0050135A" w:rsidP="0050135A">
      <w:pPr>
        <w:autoSpaceDE w:val="0"/>
        <w:autoSpaceDN w:val="0"/>
        <w:adjustRightInd w:val="0"/>
        <w:ind w:firstLine="851"/>
        <w:jc w:val="both"/>
      </w:pPr>
      <w:r>
        <w:t>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4E2D40" w:rsidRPr="00E86E49" w:rsidRDefault="0050135A" w:rsidP="002402DB">
      <w:pPr>
        <w:autoSpaceDE w:val="0"/>
        <w:autoSpaceDN w:val="0"/>
        <w:adjustRightInd w:val="0"/>
        <w:ind w:firstLine="851"/>
        <w:jc w:val="both"/>
      </w:pPr>
      <w:r>
        <w:t>6</w:t>
      </w:r>
      <w:r w:rsidR="004E2D40">
        <w:t>. Муниципальный орган управления образованием, культурой, молодежной политикой и спортом</w:t>
      </w:r>
      <w:r w:rsidR="00BA5E3E">
        <w:t xml:space="preserve"> городского округа Нижняя Салда</w:t>
      </w:r>
      <w:r w:rsidR="004E2D40">
        <w:t xml:space="preserve"> </w:t>
      </w:r>
      <w:r w:rsidR="00E86E49" w:rsidRPr="00E505AD">
        <w:rPr>
          <w:color w:val="000000"/>
        </w:rPr>
        <w:t>представляют в срок до 20 января 2014 года в Министерство отчет об использовании субсидии по форме со</w:t>
      </w:r>
      <w:r w:rsidR="00235D75">
        <w:rPr>
          <w:color w:val="000000"/>
        </w:rPr>
        <w:t>гласно приложению</w:t>
      </w:r>
      <w:r w:rsidR="00E86E49">
        <w:rPr>
          <w:color w:val="000000"/>
        </w:rPr>
        <w:t xml:space="preserve"> к настояще</w:t>
      </w:r>
      <w:r w:rsidR="00E86E49" w:rsidRPr="00E505AD">
        <w:rPr>
          <w:color w:val="000000"/>
        </w:rPr>
        <w:t>м</w:t>
      </w:r>
      <w:r w:rsidR="00E86E49">
        <w:rPr>
          <w:color w:val="000000"/>
        </w:rPr>
        <w:t>у</w:t>
      </w:r>
      <w:r w:rsidR="00E86E49" w:rsidRPr="00E505AD">
        <w:rPr>
          <w:color w:val="000000"/>
        </w:rPr>
        <w:t xml:space="preserve"> Порядку</w:t>
      </w:r>
      <w:r w:rsidR="00E86E49">
        <w:rPr>
          <w:color w:val="000000"/>
        </w:rPr>
        <w:t>.</w:t>
      </w:r>
    </w:p>
    <w:p w:rsidR="004E2D40" w:rsidRDefault="0050135A" w:rsidP="002402DB">
      <w:pPr>
        <w:autoSpaceDE w:val="0"/>
        <w:autoSpaceDN w:val="0"/>
        <w:adjustRightInd w:val="0"/>
        <w:ind w:firstLine="851"/>
        <w:jc w:val="both"/>
      </w:pPr>
      <w:r>
        <w:t>7</w:t>
      </w:r>
      <w:r w:rsidR="004E2D40">
        <w:t xml:space="preserve">. Финансовый </w:t>
      </w:r>
      <w:proofErr w:type="gramStart"/>
      <w:r w:rsidR="004E2D40">
        <w:t>контроль за</w:t>
      </w:r>
      <w:proofErr w:type="gramEnd"/>
      <w:r w:rsidR="004E2D40">
        <w:t xml:space="preserve"> целевым использованием бюджетных средств осуществляется Муниципальным органом управления образованием, культурой, молодежной политикой и спортом </w:t>
      </w:r>
      <w:r w:rsidR="00BA5E3E">
        <w:t xml:space="preserve">городского округа Нижняя Салда </w:t>
      </w:r>
      <w:r w:rsidR="004E2D40">
        <w:t>и Финансовым управлением администрации городского округа Нижняя Салда.</w:t>
      </w:r>
    </w:p>
    <w:p w:rsidR="004E2D40" w:rsidRDefault="004E2D40" w:rsidP="002402DB">
      <w:pPr>
        <w:jc w:val="both"/>
        <w:sectPr w:rsidR="004E2D40" w:rsidSect="00F164A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D94F2E" w:rsidRPr="00D94F2E" w:rsidRDefault="00D94F2E" w:rsidP="002402DB">
      <w:pPr>
        <w:autoSpaceDE w:val="0"/>
        <w:autoSpaceDN w:val="0"/>
        <w:adjustRightInd w:val="0"/>
        <w:ind w:left="5387" w:firstLine="1843"/>
        <w:jc w:val="both"/>
        <w:outlineLvl w:val="1"/>
        <w:rPr>
          <w:sz w:val="24"/>
          <w:szCs w:val="24"/>
        </w:rPr>
      </w:pPr>
    </w:p>
    <w:p w:rsidR="004E2D40" w:rsidRDefault="00235D75" w:rsidP="002402DB">
      <w:pPr>
        <w:autoSpaceDE w:val="0"/>
        <w:autoSpaceDN w:val="0"/>
        <w:adjustRightInd w:val="0"/>
        <w:ind w:left="5387"/>
        <w:jc w:val="both"/>
        <w:outlineLvl w:val="1"/>
      </w:pPr>
      <w:r>
        <w:t>Приложение</w:t>
      </w:r>
    </w:p>
    <w:p w:rsidR="00DE000F" w:rsidRDefault="00CD128B" w:rsidP="00235D75">
      <w:pPr>
        <w:pStyle w:val="ConsPlusTitle"/>
        <w:widowControl/>
        <w:ind w:left="5387"/>
        <w:jc w:val="both"/>
        <w:rPr>
          <w:rFonts w:eastAsia="Calibri"/>
          <w:b w:val="0"/>
          <w:bCs w:val="0"/>
          <w:i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 </w:t>
      </w:r>
      <w:r w:rsidR="00DE000F">
        <w:rPr>
          <w:b w:val="0"/>
          <w:sz w:val="28"/>
          <w:szCs w:val="28"/>
        </w:rPr>
        <w:t>Порядку</w:t>
      </w:r>
      <w:r w:rsidR="00DE000F" w:rsidRPr="00ED0049">
        <w:rPr>
          <w:b w:val="0"/>
          <w:sz w:val="28"/>
          <w:szCs w:val="28"/>
        </w:rPr>
        <w:t xml:space="preserve"> расходования </w:t>
      </w:r>
      <w:r w:rsidR="00DE000F">
        <w:rPr>
          <w:b w:val="0"/>
          <w:sz w:val="28"/>
          <w:szCs w:val="28"/>
        </w:rPr>
        <w:t xml:space="preserve">средств </w:t>
      </w:r>
      <w:r w:rsidR="00DE000F" w:rsidRPr="00ED0049">
        <w:rPr>
          <w:b w:val="0"/>
          <w:sz w:val="28"/>
          <w:szCs w:val="28"/>
        </w:rPr>
        <w:t>полученных из областного бюджета</w:t>
      </w:r>
      <w:r w:rsidR="00DE000F" w:rsidRPr="00ED0049">
        <w:rPr>
          <w:rFonts w:eastAsia="Calibri"/>
          <w:b w:val="0"/>
          <w:bCs w:val="0"/>
          <w:iCs/>
          <w:sz w:val="28"/>
          <w:szCs w:val="28"/>
        </w:rPr>
        <w:t xml:space="preserve"> </w:t>
      </w:r>
      <w:r w:rsidR="00DE000F">
        <w:rPr>
          <w:rFonts w:eastAsia="Calibri"/>
          <w:b w:val="0"/>
          <w:bCs w:val="0"/>
          <w:iCs/>
          <w:sz w:val="28"/>
          <w:szCs w:val="28"/>
        </w:rPr>
        <w:t xml:space="preserve">в виде </w:t>
      </w:r>
      <w:r w:rsidR="0050135A">
        <w:rPr>
          <w:rFonts w:eastAsia="Calibri"/>
          <w:b w:val="0"/>
          <w:bCs w:val="0"/>
          <w:iCs/>
          <w:sz w:val="28"/>
          <w:szCs w:val="28"/>
        </w:rPr>
        <w:t>субсидий</w:t>
      </w:r>
      <w:r w:rsidR="00DE000F" w:rsidRPr="00ED0049">
        <w:rPr>
          <w:rFonts w:eastAsia="Calibri"/>
          <w:b w:val="0"/>
          <w:bCs w:val="0"/>
          <w:iCs/>
          <w:sz w:val="28"/>
          <w:szCs w:val="28"/>
        </w:rPr>
        <w:t xml:space="preserve"> на </w:t>
      </w:r>
      <w:r w:rsidR="00DE000F">
        <w:rPr>
          <w:rFonts w:eastAsia="Calibri"/>
          <w:b w:val="0"/>
          <w:bCs w:val="0"/>
          <w:iCs/>
          <w:sz w:val="28"/>
          <w:szCs w:val="28"/>
        </w:rPr>
        <w:t>реализацию мер по поэтапному повышению</w:t>
      </w:r>
      <w:proofErr w:type="gramEnd"/>
      <w:r w:rsidR="00DE000F">
        <w:rPr>
          <w:rFonts w:eastAsia="Calibri"/>
          <w:b w:val="0"/>
          <w:bCs w:val="0"/>
          <w:iCs/>
          <w:sz w:val="28"/>
          <w:szCs w:val="28"/>
        </w:rPr>
        <w:t xml:space="preserve"> заработной платы работников муниципальных учреждений культуры в 2013 году»</w:t>
      </w:r>
    </w:p>
    <w:p w:rsidR="004E2D40" w:rsidRDefault="004E2D40" w:rsidP="004D6E38">
      <w:pPr>
        <w:autoSpaceDE w:val="0"/>
        <w:autoSpaceDN w:val="0"/>
        <w:adjustRightInd w:val="0"/>
        <w:jc w:val="center"/>
      </w:pPr>
    </w:p>
    <w:p w:rsidR="004D6E38" w:rsidRPr="00B0595B" w:rsidRDefault="004D6E38" w:rsidP="004D6E38">
      <w:pPr>
        <w:autoSpaceDE w:val="0"/>
        <w:autoSpaceDN w:val="0"/>
        <w:adjustRightInd w:val="0"/>
        <w:jc w:val="center"/>
      </w:pPr>
      <w:r>
        <w:t>Отчет об использовании средств областного бюджета, предоставленных в форме субсидии на реализацию мер по поэтапному повышению средней заработной платы работников муниципальных учреждений культуры</w:t>
      </w:r>
      <w:r w:rsidR="00B0595B" w:rsidRPr="00B0595B">
        <w:t xml:space="preserve"> </w:t>
      </w:r>
      <w:r w:rsidR="00B0595B">
        <w:rPr>
          <w:lang w:val="en-US"/>
        </w:rPr>
        <w:t>d</w:t>
      </w:r>
      <w:r w:rsidR="00B0595B" w:rsidRPr="00B0595B">
        <w:t xml:space="preserve"> 2013</w:t>
      </w:r>
      <w:r w:rsidR="00B0595B">
        <w:t>г</w:t>
      </w:r>
      <w:bookmarkStart w:id="0" w:name="_GoBack"/>
      <w:bookmarkEnd w:id="0"/>
    </w:p>
    <w:p w:rsidR="004D6E38" w:rsidRDefault="004D6E38" w:rsidP="004D6E38">
      <w:pPr>
        <w:autoSpaceDE w:val="0"/>
        <w:autoSpaceDN w:val="0"/>
        <w:adjustRightInd w:val="0"/>
        <w:jc w:val="center"/>
      </w:pPr>
      <w:r>
        <w:t>по___________________________________________________________</w:t>
      </w:r>
    </w:p>
    <w:p w:rsidR="004D6E38" w:rsidRDefault="004D6E38" w:rsidP="004D6E38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4D6E38" w:rsidTr="004D6E38"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>Дата отчета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>01_________20___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>Величина показателя (в целом по муниципальному образованию)</w:t>
            </w:r>
          </w:p>
        </w:tc>
      </w:tr>
      <w:tr w:rsidR="004D6E38" w:rsidTr="004D6E38"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>Наименование учреждений получателей средств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  <w:r>
              <w:t xml:space="preserve">Численность списочного состава, всего </w:t>
            </w:r>
            <w:r w:rsidR="0012444F">
              <w:t>(</w:t>
            </w:r>
            <w:r>
              <w:t>человек</w:t>
            </w:r>
            <w:r w:rsidR="0012444F">
              <w:t>)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Получено средств из областного бюджет</w:t>
            </w:r>
            <w:proofErr w:type="gramStart"/>
            <w:r>
              <w:t>а(</w:t>
            </w:r>
            <w:proofErr w:type="gramEnd"/>
            <w:r>
              <w:t>рублей)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Кассовый расход (рублей)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Остаток неиспользованных средств (рублей)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Достижение показателя соотношения средней заработной платы работников муниципальных учреждений культуры и средней заработной платы по экономике в Свердловской области (процентов)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Средняя заработная плата работников муниципальных учреждений культуры (рублей) в том числе по типам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Библиотеки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Культурно-досуговые учреждения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Музеи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Театры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Концертные организации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Парки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Кинофикация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Прочие учреждения культуры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4D6E38" w:rsidTr="004D6E38">
        <w:tc>
          <w:tcPr>
            <w:tcW w:w="3190" w:type="dxa"/>
          </w:tcPr>
          <w:p w:rsidR="004D6E38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3190" w:type="dxa"/>
          </w:tcPr>
          <w:p w:rsidR="004D6E38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зоопарки</w:t>
            </w:r>
          </w:p>
        </w:tc>
        <w:tc>
          <w:tcPr>
            <w:tcW w:w="3190" w:type="dxa"/>
          </w:tcPr>
          <w:p w:rsidR="004D6E38" w:rsidRDefault="004D6E38" w:rsidP="00696C6C">
            <w:pPr>
              <w:autoSpaceDE w:val="0"/>
              <w:autoSpaceDN w:val="0"/>
              <w:adjustRightInd w:val="0"/>
              <w:jc w:val="both"/>
            </w:pPr>
          </w:p>
        </w:tc>
      </w:tr>
      <w:tr w:rsidR="0012444F" w:rsidTr="0012444F">
        <w:trPr>
          <w:trHeight w:val="525"/>
        </w:trPr>
        <w:tc>
          <w:tcPr>
            <w:tcW w:w="3190" w:type="dxa"/>
            <w:vMerge w:val="restart"/>
          </w:tcPr>
          <w:p w:rsidR="0012444F" w:rsidRDefault="004877C7" w:rsidP="00696C6C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3190" w:type="dxa"/>
            <w:vMerge w:val="restart"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Соотношение финансовых средств направленных на повышение заработной платы работников муниципальных учреждений культуры (рублей)</w:t>
            </w:r>
          </w:p>
        </w:tc>
        <w:tc>
          <w:tcPr>
            <w:tcW w:w="3190" w:type="dxa"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Из областного бюджета</w:t>
            </w:r>
          </w:p>
        </w:tc>
      </w:tr>
      <w:tr w:rsidR="0012444F" w:rsidTr="0012444F">
        <w:trPr>
          <w:trHeight w:val="900"/>
        </w:trPr>
        <w:tc>
          <w:tcPr>
            <w:tcW w:w="3190" w:type="dxa"/>
            <w:vMerge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vMerge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Из муниципального бюджета</w:t>
            </w:r>
          </w:p>
        </w:tc>
      </w:tr>
      <w:tr w:rsidR="0012444F" w:rsidTr="004D6E38">
        <w:trPr>
          <w:trHeight w:val="1140"/>
        </w:trPr>
        <w:tc>
          <w:tcPr>
            <w:tcW w:w="3190" w:type="dxa"/>
            <w:vMerge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vMerge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12444F" w:rsidRDefault="0012444F" w:rsidP="00696C6C">
            <w:pPr>
              <w:autoSpaceDE w:val="0"/>
              <w:autoSpaceDN w:val="0"/>
              <w:adjustRightInd w:val="0"/>
              <w:jc w:val="both"/>
            </w:pPr>
            <w:r>
              <w:t>Иные источники</w:t>
            </w:r>
          </w:p>
        </w:tc>
      </w:tr>
    </w:tbl>
    <w:p w:rsidR="004D6E38" w:rsidRDefault="004D6E38" w:rsidP="00696C6C">
      <w:pPr>
        <w:autoSpaceDE w:val="0"/>
        <w:autoSpaceDN w:val="0"/>
        <w:adjustRightInd w:val="0"/>
        <w:jc w:val="both"/>
      </w:pPr>
    </w:p>
    <w:p w:rsidR="0012444F" w:rsidRDefault="0012444F" w:rsidP="0012444F">
      <w:pPr>
        <w:autoSpaceDE w:val="0"/>
        <w:autoSpaceDN w:val="0"/>
        <w:adjustRightInd w:val="0"/>
        <w:jc w:val="both"/>
      </w:pPr>
    </w:p>
    <w:p w:rsidR="0012444F" w:rsidRDefault="0012444F" w:rsidP="0012444F">
      <w:pPr>
        <w:autoSpaceDE w:val="0"/>
        <w:autoSpaceDN w:val="0"/>
        <w:adjustRightInd w:val="0"/>
        <w:jc w:val="both"/>
      </w:pPr>
    </w:p>
    <w:p w:rsidR="004877C7" w:rsidRDefault="0012444F" w:rsidP="0012444F">
      <w:pPr>
        <w:autoSpaceDE w:val="0"/>
        <w:autoSpaceDN w:val="0"/>
        <w:adjustRightInd w:val="0"/>
        <w:jc w:val="both"/>
      </w:pPr>
      <w:r>
        <w:t xml:space="preserve">Руководитель органа </w:t>
      </w:r>
    </w:p>
    <w:p w:rsidR="0012444F" w:rsidRDefault="0012444F" w:rsidP="0012444F">
      <w:pPr>
        <w:autoSpaceDE w:val="0"/>
        <w:autoSpaceDN w:val="0"/>
        <w:adjustRightInd w:val="0"/>
        <w:jc w:val="both"/>
      </w:pPr>
      <w:r>
        <w:t xml:space="preserve">местного </w:t>
      </w:r>
      <w:r w:rsidR="004877C7">
        <w:t>с</w:t>
      </w:r>
      <w:r>
        <w:t xml:space="preserve">амоуправления </w:t>
      </w:r>
      <w:r w:rsidR="004877C7">
        <w:t xml:space="preserve">     _____________          _____________________</w:t>
      </w:r>
    </w:p>
    <w:p w:rsidR="004877C7" w:rsidRDefault="004877C7" w:rsidP="004877C7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(подпись)                                             (расшифровка подписи)</w:t>
      </w: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p w:rsidR="00696C6C" w:rsidRDefault="00696C6C" w:rsidP="004877C7">
      <w:pPr>
        <w:autoSpaceDE w:val="0"/>
        <w:autoSpaceDN w:val="0"/>
        <w:adjustRightInd w:val="0"/>
        <w:jc w:val="both"/>
        <w:rPr>
          <w:vertAlign w:val="subscript"/>
        </w:rPr>
      </w:pPr>
    </w:p>
    <w:sectPr w:rsidR="00696C6C" w:rsidSect="00F164A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4F" w:rsidRDefault="004A4C4F" w:rsidP="00C9512B">
      <w:r>
        <w:separator/>
      </w:r>
    </w:p>
  </w:endnote>
  <w:endnote w:type="continuationSeparator" w:id="1">
    <w:p w:rsidR="004A4C4F" w:rsidRDefault="004A4C4F" w:rsidP="00C9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4F" w:rsidRDefault="004A4C4F" w:rsidP="00C9512B">
      <w:r>
        <w:separator/>
      </w:r>
    </w:p>
  </w:footnote>
  <w:footnote w:type="continuationSeparator" w:id="1">
    <w:p w:rsidR="004A4C4F" w:rsidRDefault="004A4C4F" w:rsidP="00C9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334094"/>
      <w:docPartObj>
        <w:docPartGallery w:val="Page Numbers (Top of Page)"/>
        <w:docPartUnique/>
      </w:docPartObj>
    </w:sdtPr>
    <w:sdtContent>
      <w:p w:rsidR="00B0595B" w:rsidRDefault="0063341D">
        <w:pPr>
          <w:pStyle w:val="a5"/>
          <w:jc w:val="center"/>
        </w:pPr>
        <w:r>
          <w:fldChar w:fldCharType="begin"/>
        </w:r>
        <w:r w:rsidR="00B0595B">
          <w:instrText>PAGE   \* MERGEFORMAT</w:instrText>
        </w:r>
        <w:r>
          <w:fldChar w:fldCharType="separate"/>
        </w:r>
        <w:r w:rsidR="004800BD">
          <w:rPr>
            <w:noProof/>
          </w:rPr>
          <w:t>6</w:t>
        </w:r>
        <w:r>
          <w:fldChar w:fldCharType="end"/>
        </w:r>
      </w:p>
    </w:sdtContent>
  </w:sdt>
  <w:p w:rsidR="00167209" w:rsidRDefault="00167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9" w:rsidRDefault="00F164A9">
    <w:pPr>
      <w:pStyle w:val="a5"/>
      <w:jc w:val="center"/>
    </w:pPr>
  </w:p>
  <w:p w:rsidR="00365414" w:rsidRDefault="00365414" w:rsidP="00696C6C">
    <w:pPr>
      <w:pStyle w:val="a5"/>
      <w:tabs>
        <w:tab w:val="clear" w:pos="4677"/>
        <w:tab w:val="clear" w:pos="9355"/>
        <w:tab w:val="left" w:pos="142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878"/>
    <w:multiLevelType w:val="hybridMultilevel"/>
    <w:tmpl w:val="9EB0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72B18"/>
    <w:rsid w:val="000053A9"/>
    <w:rsid w:val="00040515"/>
    <w:rsid w:val="00055FC4"/>
    <w:rsid w:val="000D35B8"/>
    <w:rsid w:val="0012444F"/>
    <w:rsid w:val="00167209"/>
    <w:rsid w:val="001C5C05"/>
    <w:rsid w:val="001D3775"/>
    <w:rsid w:val="00235D75"/>
    <w:rsid w:val="002402DB"/>
    <w:rsid w:val="002A129E"/>
    <w:rsid w:val="002C2096"/>
    <w:rsid w:val="00333797"/>
    <w:rsid w:val="00365414"/>
    <w:rsid w:val="00366E5B"/>
    <w:rsid w:val="00372B18"/>
    <w:rsid w:val="003A387D"/>
    <w:rsid w:val="004800BD"/>
    <w:rsid w:val="004877C7"/>
    <w:rsid w:val="004A4C4F"/>
    <w:rsid w:val="004D6E38"/>
    <w:rsid w:val="004E2D40"/>
    <w:rsid w:val="004F4652"/>
    <w:rsid w:val="0050135A"/>
    <w:rsid w:val="00514C1A"/>
    <w:rsid w:val="00570273"/>
    <w:rsid w:val="00572032"/>
    <w:rsid w:val="005D0FAD"/>
    <w:rsid w:val="005E3721"/>
    <w:rsid w:val="00623F5C"/>
    <w:rsid w:val="0063341D"/>
    <w:rsid w:val="00696C6C"/>
    <w:rsid w:val="006B7DCF"/>
    <w:rsid w:val="006E11AF"/>
    <w:rsid w:val="006F77D9"/>
    <w:rsid w:val="00802143"/>
    <w:rsid w:val="00803C32"/>
    <w:rsid w:val="00895A10"/>
    <w:rsid w:val="008A7120"/>
    <w:rsid w:val="008F3DF0"/>
    <w:rsid w:val="00907130"/>
    <w:rsid w:val="00981849"/>
    <w:rsid w:val="00A33974"/>
    <w:rsid w:val="00A812F9"/>
    <w:rsid w:val="00AA28AB"/>
    <w:rsid w:val="00B0595B"/>
    <w:rsid w:val="00B637A7"/>
    <w:rsid w:val="00BA0485"/>
    <w:rsid w:val="00BA5E3E"/>
    <w:rsid w:val="00C021AD"/>
    <w:rsid w:val="00C45BD4"/>
    <w:rsid w:val="00C52452"/>
    <w:rsid w:val="00C9512B"/>
    <w:rsid w:val="00CC00EB"/>
    <w:rsid w:val="00CD128B"/>
    <w:rsid w:val="00D2551C"/>
    <w:rsid w:val="00D94F2E"/>
    <w:rsid w:val="00DC05E1"/>
    <w:rsid w:val="00DE000F"/>
    <w:rsid w:val="00DF6500"/>
    <w:rsid w:val="00E86E49"/>
    <w:rsid w:val="00ED0049"/>
    <w:rsid w:val="00ED2281"/>
    <w:rsid w:val="00F164A9"/>
    <w:rsid w:val="00F51CB7"/>
    <w:rsid w:val="00F6770B"/>
    <w:rsid w:val="00FD5018"/>
    <w:rsid w:val="00FE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40"/>
    <w:rPr>
      <w:color w:val="0000FF"/>
      <w:u w:val="single"/>
    </w:rPr>
  </w:style>
  <w:style w:type="paragraph" w:customStyle="1" w:styleId="ConsPlusTitle">
    <w:name w:val="ConsPlusTitle"/>
    <w:rsid w:val="004E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E2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0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5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5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40"/>
    <w:rPr>
      <w:color w:val="0000FF"/>
      <w:u w:val="single"/>
    </w:rPr>
  </w:style>
  <w:style w:type="paragraph" w:customStyle="1" w:styleId="ConsPlusTitle">
    <w:name w:val="ConsPlusTitle"/>
    <w:rsid w:val="004E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E2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0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5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95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DC2F-10F9-4DDA-87F1-3562A0AD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Ob_otdel3</cp:lastModifiedBy>
  <cp:revision>3</cp:revision>
  <cp:lastPrinted>2013-10-23T03:07:00Z</cp:lastPrinted>
  <dcterms:created xsi:type="dcterms:W3CDTF">2013-10-28T08:17:00Z</dcterms:created>
  <dcterms:modified xsi:type="dcterms:W3CDTF">2013-10-28T10:17:00Z</dcterms:modified>
</cp:coreProperties>
</file>