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446DBA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Pr="00ED71CC" w:rsidRDefault="00F43600" w:rsidP="00152445">
      <w:pPr>
        <w:rPr>
          <w:sz w:val="28"/>
          <w:szCs w:val="28"/>
        </w:rPr>
      </w:pPr>
      <w:r>
        <w:rPr>
          <w:sz w:val="28"/>
          <w:szCs w:val="28"/>
        </w:rPr>
        <w:t>10.01.2017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F65AE2">
        <w:rPr>
          <w:sz w:val="28"/>
          <w:szCs w:val="28"/>
        </w:rPr>
        <w:t xml:space="preserve">                     </w:t>
      </w:r>
      <w:r w:rsidR="00527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="00152445" w:rsidRPr="00ED71CC">
        <w:rPr>
          <w:sz w:val="28"/>
          <w:szCs w:val="28"/>
        </w:rPr>
        <w:t>№</w:t>
      </w:r>
      <w:r w:rsidR="00C86C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152445" w:rsidRPr="00ED71CC">
        <w:rPr>
          <w:sz w:val="28"/>
          <w:szCs w:val="28"/>
        </w:rPr>
        <w:t xml:space="preserve"> 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C6D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C92C6D">
              <w:rPr>
                <w:b/>
                <w:i/>
                <w:sz w:val="28"/>
                <w:szCs w:val="28"/>
              </w:rPr>
              <w:t>, утвержденную постановлением администрации городского округа Нижняя Салда от 27.01.2016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92C6D">
              <w:rPr>
                <w:b/>
                <w:i/>
                <w:sz w:val="28"/>
                <w:szCs w:val="28"/>
              </w:rPr>
              <w:t>28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9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10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1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527E5D">
              <w:rPr>
                <w:color w:val="000000" w:themeColor="text1"/>
                <w:sz w:val="28"/>
                <w:szCs w:val="28"/>
              </w:rPr>
              <w:t xml:space="preserve"> 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1F5A5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C92C6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Внести в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</w:t>
            </w:r>
            <w:r w:rsidR="00527E5D">
              <w:rPr>
                <w:sz w:val="28"/>
                <w:szCs w:val="28"/>
              </w:rPr>
              <w:t xml:space="preserve"> </w:t>
            </w:r>
            <w:r w:rsidR="000B3339" w:rsidRPr="000B3339">
              <w:rPr>
                <w:sz w:val="28"/>
                <w:szCs w:val="28"/>
              </w:rPr>
              <w:t>28</w:t>
            </w:r>
            <w:r w:rsidR="00A3541C">
              <w:rPr>
                <w:sz w:val="28"/>
                <w:szCs w:val="28"/>
              </w:rPr>
              <w:t xml:space="preserve"> «</w:t>
            </w:r>
            <w:r w:rsidR="00A3541C" w:rsidRPr="00A3541C">
              <w:rPr>
                <w:sz w:val="28"/>
                <w:szCs w:val="28"/>
              </w:rPr>
              <w:t>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  <w:r w:rsidR="000B3339" w:rsidRPr="00A3541C">
              <w:rPr>
                <w:sz w:val="28"/>
                <w:szCs w:val="28"/>
              </w:rPr>
              <w:t>, следующие изменения:</w:t>
            </w:r>
            <w:proofErr w:type="gramEnd"/>
          </w:p>
          <w:p w:rsidR="008B6742" w:rsidRDefault="008B6742" w:rsidP="008B674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 в паспорте программы строку «Объем финансирования программы по годам реализации» изложить в следующей редакции:</w:t>
            </w:r>
          </w:p>
          <w:p w:rsidR="008B6742" w:rsidRPr="00527E5D" w:rsidRDefault="008B6742" w:rsidP="00527E5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t>«</w:t>
            </w:r>
          </w:p>
          <w:tbl>
            <w:tblPr>
              <w:tblStyle w:val="a8"/>
              <w:tblW w:w="9493" w:type="dxa"/>
              <w:tblLook w:val="04A0"/>
            </w:tblPr>
            <w:tblGrid>
              <w:gridCol w:w="4670"/>
              <w:gridCol w:w="4823"/>
            </w:tblGrid>
            <w:tr w:rsidR="008B6742" w:rsidTr="00A3541C">
              <w:tc>
                <w:tcPr>
                  <w:tcW w:w="4670" w:type="dxa"/>
                </w:tcPr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  </w:t>
                  </w:r>
                  <w:r w:rsidRPr="00AF1BD6">
                    <w:rPr>
                      <w:color w:val="000000" w:themeColor="text1"/>
                      <w:sz w:val="28"/>
                      <w:szCs w:val="28"/>
                    </w:rPr>
                    <w:t>1 220 181,00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в том числе: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год – 230 000,00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 год – 220 000,00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 год – 188 000,00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2019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 год – 239 269,00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Местный бюджет </w:t>
                  </w:r>
                  <w:r w:rsidRPr="005E45E5">
                    <w:rPr>
                      <w:color w:val="000000" w:themeColor="text1"/>
                      <w:sz w:val="28"/>
                      <w:szCs w:val="28"/>
                    </w:rPr>
                    <w:t>1 220 181,00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руб., в том числе: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 год – 230 000,00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 год – 220 000,00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 год – 188 000,00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2018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2019 год – 171 456,00 руб.</w:t>
                  </w:r>
                </w:p>
                <w:p w:rsidR="008B6742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2020 год – 239 269,00 руб.</w:t>
                  </w:r>
                </w:p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6742">
              <w:rPr>
                <w:color w:val="FFFFFF" w:themeColor="background1"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»;</w:t>
            </w:r>
          </w:p>
          <w:p w:rsidR="008B6742" w:rsidRDefault="008B6742" w:rsidP="008B6742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2) дополнить таблицу «Ответственные исполнители  за реализацию мероприятий» раздела 3 </w:t>
            </w:r>
            <w:r w:rsidR="00A3541C">
              <w:rPr>
                <w:color w:val="000000" w:themeColor="text1"/>
                <w:sz w:val="28"/>
                <w:szCs w:val="28"/>
              </w:rPr>
              <w:t>строкой 32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8B6742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846"/>
              <w:gridCol w:w="5380"/>
              <w:gridCol w:w="3267"/>
            </w:tblGrid>
            <w:tr w:rsidR="008B6742" w:rsidTr="00A3541C">
              <w:trPr>
                <w:trHeight w:val="1814"/>
              </w:trPr>
              <w:tc>
                <w:tcPr>
                  <w:tcW w:w="846" w:type="dxa"/>
                </w:tcPr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380" w:type="dxa"/>
                </w:tcPr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Мероприятие 32.</w:t>
                  </w:r>
                </w:p>
                <w:p w:rsidR="008B6742" w:rsidRDefault="008B674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      </w:r>
                </w:p>
              </w:tc>
              <w:tc>
                <w:tcPr>
                  <w:tcW w:w="3267" w:type="dxa"/>
                </w:tcPr>
                <w:p w:rsidR="008B6742" w:rsidRDefault="0022033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Администрация городского округа;</w:t>
                  </w:r>
                </w:p>
                <w:p w:rsidR="00220332" w:rsidRDefault="00B64C1C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color w:val="000000" w:themeColor="text1"/>
                      <w:sz w:val="28"/>
                      <w:szCs w:val="28"/>
                    </w:rPr>
                    <w:t>МО МВД России «Верхнесалдинский» (по согласованию).</w:t>
                  </w:r>
                </w:p>
                <w:p w:rsidR="00220332" w:rsidRDefault="00220332" w:rsidP="008B6742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B64C1C" w:rsidP="00B64C1C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B64C1C" w:rsidRDefault="00B64C1C" w:rsidP="00B64C1C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3) Приложение №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2 к муниципальной программе </w:t>
            </w:r>
            <w:r w:rsidRPr="00F23FD8">
              <w:rPr>
                <w:sz w:val="28"/>
                <w:szCs w:val="28"/>
              </w:rPr>
              <w:t>«Гармонизация межнациональных отношений</w:t>
            </w:r>
            <w:r>
              <w:rPr>
                <w:sz w:val="28"/>
                <w:szCs w:val="28"/>
              </w:rPr>
              <w:t>,</w:t>
            </w:r>
            <w:r w:rsidRPr="00F23FD8">
              <w:rPr>
                <w:sz w:val="28"/>
                <w:szCs w:val="28"/>
              </w:rPr>
              <w:t xml:space="preserve"> профилактика экстремизма </w:t>
            </w:r>
            <w:r>
              <w:rPr>
                <w:sz w:val="28"/>
                <w:szCs w:val="28"/>
              </w:rPr>
              <w:t xml:space="preserve">и терроризма </w:t>
            </w:r>
            <w:r w:rsidRPr="00F23FD8">
              <w:rPr>
                <w:sz w:val="28"/>
                <w:szCs w:val="28"/>
              </w:rPr>
              <w:t>на территории городского округа Нижняя Салда на 2015 - 2020 годы»</w:t>
            </w:r>
            <w:r>
              <w:rPr>
                <w:sz w:val="28"/>
                <w:szCs w:val="28"/>
              </w:rPr>
              <w:t xml:space="preserve"> изложить в новой редакции (Приложение).</w:t>
            </w:r>
          </w:p>
          <w:p w:rsidR="00E30C87" w:rsidRPr="00B64C1C" w:rsidRDefault="00E30C87" w:rsidP="00B64C1C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4B51E8">
              <w:rPr>
                <w:sz w:val="28"/>
                <w:szCs w:val="28"/>
              </w:rPr>
              <w:t>п</w:t>
            </w:r>
            <w:r w:rsidRPr="00E30C87">
              <w:rPr>
                <w:sz w:val="28"/>
                <w:szCs w:val="28"/>
              </w:rPr>
              <w:t>о те</w:t>
            </w:r>
            <w:r w:rsidR="004B51E8">
              <w:rPr>
                <w:sz w:val="28"/>
                <w:szCs w:val="28"/>
              </w:rPr>
              <w:t>к</w:t>
            </w:r>
            <w:r w:rsidRPr="00E30C87">
              <w:rPr>
                <w:sz w:val="28"/>
                <w:szCs w:val="28"/>
              </w:rPr>
              <w:t xml:space="preserve">сту </w:t>
            </w:r>
            <w:r w:rsidR="004B51E8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="004B51E8" w:rsidRPr="00F23FD8">
              <w:rPr>
                <w:sz w:val="28"/>
                <w:szCs w:val="28"/>
              </w:rPr>
              <w:t>«Гармонизация межнациональных отношений</w:t>
            </w:r>
            <w:r w:rsidR="004B51E8">
              <w:rPr>
                <w:sz w:val="28"/>
                <w:szCs w:val="28"/>
              </w:rPr>
              <w:t>,</w:t>
            </w:r>
            <w:r w:rsidR="004B51E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4B51E8">
              <w:rPr>
                <w:sz w:val="28"/>
                <w:szCs w:val="28"/>
              </w:rPr>
              <w:t xml:space="preserve">и терроризма </w:t>
            </w:r>
            <w:r w:rsidR="004B51E8" w:rsidRPr="00F23FD8">
              <w:rPr>
                <w:sz w:val="28"/>
                <w:szCs w:val="28"/>
              </w:rPr>
              <w:t>на территории городского округа Нижняя Салда на 2015 - 2020 годы»</w:t>
            </w:r>
            <w:r w:rsidR="004B51E8">
              <w:rPr>
                <w:sz w:val="28"/>
                <w:szCs w:val="28"/>
              </w:rPr>
              <w:t xml:space="preserve"> </w:t>
            </w:r>
            <w:r w:rsidRPr="00E30C87">
              <w:rPr>
                <w:sz w:val="28"/>
                <w:szCs w:val="28"/>
              </w:rPr>
              <w:t xml:space="preserve"> слова «ТП УФМС России по С</w:t>
            </w:r>
            <w:r>
              <w:rPr>
                <w:sz w:val="28"/>
                <w:szCs w:val="28"/>
              </w:rPr>
              <w:t>вердловской области</w:t>
            </w:r>
            <w:r w:rsidRPr="00E30C87">
              <w:rPr>
                <w:sz w:val="28"/>
                <w:szCs w:val="28"/>
              </w:rPr>
              <w:t xml:space="preserve"> в Нижнесалдинском районе (по согласованию)» заменить на «МО МВД России «</w:t>
            </w:r>
            <w:proofErr w:type="spellStart"/>
            <w:r w:rsidRPr="00E30C87">
              <w:rPr>
                <w:sz w:val="28"/>
                <w:szCs w:val="28"/>
              </w:rPr>
              <w:t>Верхнесалдинский</w:t>
            </w:r>
            <w:proofErr w:type="spellEnd"/>
            <w:r w:rsidRPr="00E30C87">
              <w:rPr>
                <w:sz w:val="28"/>
                <w:szCs w:val="28"/>
              </w:rPr>
              <w:t>» (по согласованию)», слова «</w:t>
            </w:r>
            <w:r>
              <w:rPr>
                <w:sz w:val="28"/>
                <w:szCs w:val="28"/>
              </w:rPr>
              <w:t xml:space="preserve">Газета «Городской вестник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ижняя Салда»</w:t>
            </w:r>
            <w:r w:rsidRPr="00E30C87">
              <w:rPr>
                <w:sz w:val="28"/>
                <w:szCs w:val="28"/>
              </w:rPr>
              <w:t xml:space="preserve"> заменить на «</w:t>
            </w:r>
            <w:r>
              <w:rPr>
                <w:sz w:val="28"/>
                <w:szCs w:val="28"/>
              </w:rPr>
              <w:t>Газета «Городской вестник плюс»</w:t>
            </w:r>
            <w:r w:rsidRPr="00E30C87">
              <w:rPr>
                <w:sz w:val="28"/>
                <w:szCs w:val="28"/>
              </w:rPr>
              <w:t>.</w:t>
            </w:r>
          </w:p>
          <w:p w:rsidR="00ED71CC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>на официальном сайте 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4B51E8" w:rsidRDefault="004B51E8" w:rsidP="004B51E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4B51E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4B51E8" w:rsidRPr="004B51E8" w:rsidRDefault="004B51E8" w:rsidP="004B51E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B64C1C">
              <w:rPr>
                <w:sz w:val="28"/>
                <w:szCs w:val="28"/>
              </w:rPr>
              <w:t xml:space="preserve">  </w:t>
            </w:r>
            <w:r w:rsidR="00527E5D">
              <w:rPr>
                <w:sz w:val="28"/>
                <w:szCs w:val="28"/>
              </w:rPr>
              <w:t xml:space="preserve">        </w:t>
            </w:r>
            <w:r w:rsidR="00B64C1C">
              <w:rPr>
                <w:sz w:val="28"/>
                <w:szCs w:val="28"/>
              </w:rPr>
              <w:t xml:space="preserve">  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B2614">
              <w:rPr>
                <w:sz w:val="28"/>
                <w:szCs w:val="28"/>
              </w:rPr>
              <w:t xml:space="preserve">       </w:t>
            </w:r>
            <w:r w:rsidR="00527E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12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lastRenderedPageBreak/>
        <w:t xml:space="preserve">Приложение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к постановлению администрации городского округа Нижняя Салда от </w:t>
      </w:r>
      <w:r w:rsidR="00F43600">
        <w:rPr>
          <w:bCs/>
        </w:rPr>
        <w:t>10.01.2017</w:t>
      </w:r>
      <w:r w:rsidRPr="00A83617">
        <w:rPr>
          <w:bCs/>
        </w:rPr>
        <w:t xml:space="preserve"> № </w:t>
      </w:r>
      <w:r w:rsidR="00F43600">
        <w:rPr>
          <w:bCs/>
        </w:rPr>
        <w:t>18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№2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6"/>
      <w:bookmarkEnd w:id="1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11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</w:t>
            </w:r>
            <w:r w:rsidRPr="00A83617">
              <w:rPr>
                <w:sz w:val="20"/>
                <w:szCs w:val="20"/>
              </w:rPr>
              <w:lastRenderedPageBreak/>
              <w:t>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Обеспечение дополнительными мерами антитеррористической и противодиверсионной защищенности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1 220 181,00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188 000,00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171 456,00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A83617">
              <w:rPr>
                <w:bCs/>
                <w:sz w:val="20"/>
                <w:szCs w:val="20"/>
              </w:rPr>
              <w:t>239 269,00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опретивно-профилактических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мероприятиях "Неформал", "Школьник"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Default="00A83617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sectPr w:rsidR="00A83617" w:rsidSect="00A83617">
      <w:pgSz w:w="16838" w:h="11906" w:orient="landscape"/>
      <w:pgMar w:top="1418" w:right="851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00" w:rsidRDefault="00F43600" w:rsidP="00527E5D">
      <w:r>
        <w:separator/>
      </w:r>
    </w:p>
  </w:endnote>
  <w:endnote w:type="continuationSeparator" w:id="1">
    <w:p w:rsidR="00F43600" w:rsidRDefault="00F43600" w:rsidP="005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00" w:rsidRDefault="00F43600" w:rsidP="00527E5D">
      <w:r>
        <w:separator/>
      </w:r>
    </w:p>
  </w:footnote>
  <w:footnote w:type="continuationSeparator" w:id="1">
    <w:p w:rsidR="00F43600" w:rsidRDefault="00F43600" w:rsidP="0052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81109"/>
      <w:docPartObj>
        <w:docPartGallery w:val="Page Numbers (Top of Page)"/>
        <w:docPartUnique/>
      </w:docPartObj>
    </w:sdtPr>
    <w:sdtContent>
      <w:p w:rsidR="00F43600" w:rsidRDefault="00F43600" w:rsidP="00EB2614">
        <w:pPr>
          <w:pStyle w:val="a9"/>
          <w:jc w:val="center"/>
        </w:pPr>
        <w:fldSimple w:instr="PAGE   \* MERGEFORMAT">
          <w:r w:rsidR="00D450D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F3F"/>
    <w:rsid w:val="00034128"/>
    <w:rsid w:val="00035579"/>
    <w:rsid w:val="00070C26"/>
    <w:rsid w:val="000B3339"/>
    <w:rsid w:val="000C3A87"/>
    <w:rsid w:val="00152445"/>
    <w:rsid w:val="001F1357"/>
    <w:rsid w:val="001F5A5D"/>
    <w:rsid w:val="00220332"/>
    <w:rsid w:val="0022346C"/>
    <w:rsid w:val="002508D2"/>
    <w:rsid w:val="00251BEA"/>
    <w:rsid w:val="00296E13"/>
    <w:rsid w:val="00302A25"/>
    <w:rsid w:val="00340E07"/>
    <w:rsid w:val="003E31F1"/>
    <w:rsid w:val="00410A97"/>
    <w:rsid w:val="00446DBA"/>
    <w:rsid w:val="00461FA8"/>
    <w:rsid w:val="004B51E8"/>
    <w:rsid w:val="00527E5D"/>
    <w:rsid w:val="00532F3F"/>
    <w:rsid w:val="00535080"/>
    <w:rsid w:val="00554B88"/>
    <w:rsid w:val="00565319"/>
    <w:rsid w:val="005721A6"/>
    <w:rsid w:val="005777DF"/>
    <w:rsid w:val="0058067D"/>
    <w:rsid w:val="005A166F"/>
    <w:rsid w:val="005E198E"/>
    <w:rsid w:val="00617082"/>
    <w:rsid w:val="00637B0B"/>
    <w:rsid w:val="006E1B92"/>
    <w:rsid w:val="00760721"/>
    <w:rsid w:val="007F0C7B"/>
    <w:rsid w:val="0081168C"/>
    <w:rsid w:val="00816078"/>
    <w:rsid w:val="00825EE8"/>
    <w:rsid w:val="008B6742"/>
    <w:rsid w:val="008D2D18"/>
    <w:rsid w:val="009241DD"/>
    <w:rsid w:val="009842C5"/>
    <w:rsid w:val="009C2C73"/>
    <w:rsid w:val="009D0A1D"/>
    <w:rsid w:val="00A3541C"/>
    <w:rsid w:val="00A83617"/>
    <w:rsid w:val="00AA01CD"/>
    <w:rsid w:val="00B64C1C"/>
    <w:rsid w:val="00B879B8"/>
    <w:rsid w:val="00BA4C2E"/>
    <w:rsid w:val="00BF4D93"/>
    <w:rsid w:val="00C43F1D"/>
    <w:rsid w:val="00C86C67"/>
    <w:rsid w:val="00C92C6D"/>
    <w:rsid w:val="00D12C09"/>
    <w:rsid w:val="00D44AA6"/>
    <w:rsid w:val="00D450D0"/>
    <w:rsid w:val="00D631C3"/>
    <w:rsid w:val="00DE2802"/>
    <w:rsid w:val="00E02A46"/>
    <w:rsid w:val="00E27E4D"/>
    <w:rsid w:val="00E30C87"/>
    <w:rsid w:val="00E73C3E"/>
    <w:rsid w:val="00EB2614"/>
    <w:rsid w:val="00EB6453"/>
    <w:rsid w:val="00ED71CC"/>
    <w:rsid w:val="00F23FD8"/>
    <w:rsid w:val="00F26825"/>
    <w:rsid w:val="00F43600"/>
    <w:rsid w:val="00F65AE2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49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454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223B-6ED4-4D3F-89A6-4E400013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Liliya</cp:lastModifiedBy>
  <cp:revision>51</cp:revision>
  <cp:lastPrinted>2017-01-16T04:47:00Z</cp:lastPrinted>
  <dcterms:created xsi:type="dcterms:W3CDTF">2012-11-28T14:36:00Z</dcterms:created>
  <dcterms:modified xsi:type="dcterms:W3CDTF">2017-01-16T04:52:00Z</dcterms:modified>
</cp:coreProperties>
</file>