
<file path=[Content_Types].xml><?xml version="1.0" encoding="utf-8"?>
<Types xmlns="http://schemas.openxmlformats.org/package/2006/content-types">
  <Default Extension="xlsm" ContentType="application/vnd.ms-excel.sheet.macroEnabled.12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F3" w:rsidRPr="00FA218F" w:rsidRDefault="00E13250" w:rsidP="00F739F3">
      <w:pPr>
        <w:ind w:left="284" w:right="425"/>
        <w:jc w:val="center"/>
        <w:rPr>
          <w:b/>
        </w:rPr>
      </w:pPr>
      <w:r w:rsidRPr="00FA21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13970" t="6985" r="9525" b="9525"/>
                <wp:wrapNone/>
                <wp:docPr id="10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B220" id="Rectangle 761" o:spid="_x0000_s1026" style="position:absolute;margin-left:0;margin-top:0;width:509.65pt;height:7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" filled="f" strokecolor="#339"/>
            </w:pict>
          </mc:Fallback>
        </mc:AlternateContent>
      </w:r>
      <w:r w:rsidR="00E5559C">
        <w:rPr>
          <w:b/>
        </w:rPr>
        <w:t xml:space="preserve">                 </w:t>
      </w: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jc w:val="center"/>
        <w:rPr>
          <w:b/>
          <w:color w:val="000080"/>
        </w:rPr>
      </w:pPr>
      <w:proofErr w:type="gramStart"/>
      <w:r w:rsidRPr="00FA218F">
        <w:rPr>
          <w:color w:val="000080"/>
          <w:sz w:val="32"/>
        </w:rPr>
        <w:t>МЧС  РОССИИ</w:t>
      </w:r>
      <w:proofErr w:type="gramEnd"/>
    </w:p>
    <w:p w:rsidR="00772D0C" w:rsidRPr="00FA218F" w:rsidRDefault="00E13250" w:rsidP="00772D0C">
      <w:pPr>
        <w:ind w:left="284" w:right="425"/>
        <w:jc w:val="center"/>
        <w:rPr>
          <w:b/>
          <w:color w:val="000080"/>
        </w:rPr>
      </w:pPr>
      <w:r w:rsidRPr="00FA218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46990</wp:posOffset>
            </wp:positionV>
            <wp:extent cx="878205" cy="1126490"/>
            <wp:effectExtent l="0" t="0" r="0" b="0"/>
            <wp:wrapNone/>
            <wp:docPr id="871" name="Рисунок 871" descr="гп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гпн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  <w:r w:rsidRPr="00FA218F">
        <w:rPr>
          <w:b/>
          <w:bCs/>
          <w:color w:val="000080"/>
        </w:rPr>
        <w:t xml:space="preserve"> </w:t>
      </w:r>
    </w:p>
    <w:p w:rsidR="00772D0C" w:rsidRPr="00FA218F" w:rsidRDefault="00772D0C" w:rsidP="00772D0C">
      <w:pPr>
        <w:ind w:right="425"/>
        <w:jc w:val="center"/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sz w:val="40"/>
        </w:rPr>
      </w:pPr>
    </w:p>
    <w:p w:rsidR="00772D0C" w:rsidRPr="00FA218F" w:rsidRDefault="00772D0C" w:rsidP="00772D0C">
      <w:pPr>
        <w:pStyle w:val="1"/>
        <w:spacing w:after="120"/>
        <w:ind w:left="0" w:right="14"/>
        <w:rPr>
          <w:sz w:val="40"/>
          <w:szCs w:val="40"/>
        </w:rPr>
      </w:pPr>
      <w:r w:rsidRPr="00FA218F">
        <w:rPr>
          <w:sz w:val="40"/>
          <w:szCs w:val="40"/>
        </w:rPr>
        <w:t>АНАЛИЗ</w:t>
      </w:r>
    </w:p>
    <w:p w:rsidR="00772D0C" w:rsidRPr="00FA218F" w:rsidRDefault="00772D0C" w:rsidP="00772D0C">
      <w:pPr>
        <w:pStyle w:val="1"/>
        <w:ind w:left="0" w:right="14"/>
        <w:rPr>
          <w:sz w:val="34"/>
        </w:rPr>
      </w:pPr>
      <w:r w:rsidRPr="00FA218F">
        <w:rPr>
          <w:sz w:val="34"/>
        </w:rPr>
        <w:t xml:space="preserve">ОБСТАНОВКИ   </w:t>
      </w:r>
      <w:proofErr w:type="gramStart"/>
      <w:r w:rsidRPr="00FA218F">
        <w:rPr>
          <w:sz w:val="34"/>
        </w:rPr>
        <w:t>С</w:t>
      </w:r>
      <w:proofErr w:type="gramEnd"/>
      <w:r w:rsidRPr="00FA218F">
        <w:rPr>
          <w:sz w:val="34"/>
        </w:rPr>
        <w:t xml:space="preserve">   ПОЖАРАМИ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proofErr w:type="gramStart"/>
      <w:r w:rsidRPr="00FA218F">
        <w:rPr>
          <w:b/>
          <w:bCs/>
          <w:color w:val="FF0000"/>
          <w:sz w:val="34"/>
        </w:rPr>
        <w:t>И  ПОСЛЕДСТВИЙ</w:t>
      </w:r>
      <w:proofErr w:type="gramEnd"/>
      <w:r w:rsidRPr="00FA218F">
        <w:rPr>
          <w:b/>
          <w:bCs/>
          <w:color w:val="FF0000"/>
          <w:sz w:val="34"/>
        </w:rPr>
        <w:t xml:space="preserve">  ОТ  НИХ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НА   ТЕРРИТОРИИ</w:t>
      </w:r>
    </w:p>
    <w:p w:rsidR="00772D0C" w:rsidRPr="00FA218F" w:rsidRDefault="00772D0C" w:rsidP="00772D0C">
      <w:pPr>
        <w:pStyle w:val="6"/>
        <w:ind w:left="0" w:right="14"/>
      </w:pPr>
      <w:r w:rsidRPr="00FA218F">
        <w:t xml:space="preserve">Свердловской области </w:t>
      </w:r>
    </w:p>
    <w:p w:rsidR="00772D0C" w:rsidRPr="00FA218F" w:rsidRDefault="00A017FA" w:rsidP="00772D0C">
      <w:pPr>
        <w:pStyle w:val="7"/>
        <w:spacing w:before="120"/>
        <w:ind w:left="0" w:right="14"/>
        <w:rPr>
          <w:i w:val="0"/>
          <w:iCs w:val="0"/>
          <w:sz w:val="36"/>
        </w:rPr>
      </w:pPr>
      <w:r>
        <w:rPr>
          <w:i w:val="0"/>
          <w:iCs w:val="0"/>
          <w:sz w:val="36"/>
          <w:lang w:val="en-US"/>
        </w:rPr>
        <w:t xml:space="preserve"> </w:t>
      </w:r>
      <w:proofErr w:type="gramStart"/>
      <w:r>
        <w:rPr>
          <w:i w:val="0"/>
          <w:iCs w:val="0"/>
          <w:sz w:val="36"/>
          <w:lang w:val="en-US"/>
        </w:rPr>
        <w:t>за</w:t>
      </w:r>
      <w:proofErr w:type="gramEnd"/>
      <w:r>
        <w:rPr>
          <w:i w:val="0"/>
          <w:iCs w:val="0"/>
          <w:sz w:val="36"/>
          <w:lang w:val="en-US"/>
        </w:rPr>
        <w:t xml:space="preserve"> 12 месяцев 2017 года </w:t>
      </w: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pStyle w:val="4"/>
      </w:pPr>
      <w:r w:rsidRPr="00FA218F">
        <w:t>Екатеринбург</w:t>
      </w:r>
    </w:p>
    <w:p w:rsidR="00772D0C" w:rsidRPr="00FA218F" w:rsidRDefault="00772D0C" w:rsidP="00772D0C"/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lastRenderedPageBreak/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в Свердловской области</w:t>
      </w:r>
    </w:p>
    <w:p w:rsidR="000123D3" w:rsidRPr="00FA218F" w:rsidRDefault="000123D3" w:rsidP="00A31A5F">
      <w:pPr>
        <w:jc w:val="center"/>
        <w:rPr>
          <w:b/>
          <w:sz w:val="28"/>
          <w:szCs w:val="28"/>
        </w:rPr>
      </w:pPr>
    </w:p>
    <w:p w:rsidR="00A017FA" w:rsidRPr="00A017FA" w:rsidRDefault="00A017FA" w:rsidP="00CC7303">
      <w:pPr>
        <w:ind w:firstLine="720"/>
        <w:jc w:val="both"/>
        <w:rPr>
          <w:sz w:val="28"/>
          <w:szCs w:val="28"/>
        </w:rPr>
      </w:pPr>
      <w:r w:rsidRPr="00A017FA">
        <w:rPr>
          <w:sz w:val="28"/>
          <w:szCs w:val="28"/>
        </w:rPr>
        <w:t>За 12 месяцев 2017 года на территории Свердловской области зарегистрировано 3544 пожара, что в сравнении с аналогичным периодом прошлого года меньше на 181 случай или 4,9</w:t>
      </w:r>
      <w:r w:rsidR="00F128E5">
        <w:rPr>
          <w:sz w:val="28"/>
          <w:szCs w:val="28"/>
        </w:rPr>
        <w:t xml:space="preserve"> </w:t>
      </w:r>
      <w:r w:rsidRPr="00A017FA">
        <w:rPr>
          <w:sz w:val="28"/>
          <w:szCs w:val="28"/>
        </w:rPr>
        <w:t>%</w:t>
      </w:r>
      <w:r w:rsidR="00F128E5">
        <w:rPr>
          <w:sz w:val="28"/>
          <w:szCs w:val="28"/>
        </w:rPr>
        <w:t>.</w:t>
      </w:r>
    </w:p>
    <w:p w:rsidR="00A017FA" w:rsidRPr="00A017FA" w:rsidRDefault="00A017FA" w:rsidP="00CC7303">
      <w:pPr>
        <w:ind w:firstLine="720"/>
        <w:jc w:val="both"/>
        <w:rPr>
          <w:sz w:val="28"/>
          <w:szCs w:val="28"/>
        </w:rPr>
      </w:pPr>
      <w:r w:rsidRPr="00A017FA">
        <w:rPr>
          <w:sz w:val="28"/>
          <w:szCs w:val="28"/>
        </w:rPr>
        <w:t>При пожарах погибли 296 человек (снижение на 10,8</w:t>
      </w:r>
      <w:r w:rsidR="00F128E5">
        <w:rPr>
          <w:sz w:val="28"/>
          <w:szCs w:val="28"/>
        </w:rPr>
        <w:t xml:space="preserve"> </w:t>
      </w:r>
      <w:r w:rsidRPr="00A017FA">
        <w:rPr>
          <w:sz w:val="28"/>
          <w:szCs w:val="28"/>
        </w:rPr>
        <w:t>% в сравнении с АППГ), в том числе 9 детей (за аналогичный период прошлого года погибли 20 детей);</w:t>
      </w:r>
    </w:p>
    <w:p w:rsidR="00A017FA" w:rsidRPr="00A017FA" w:rsidRDefault="00A017FA" w:rsidP="00CC7303">
      <w:pPr>
        <w:ind w:firstLine="720"/>
        <w:jc w:val="both"/>
        <w:rPr>
          <w:sz w:val="28"/>
          <w:szCs w:val="28"/>
        </w:rPr>
      </w:pPr>
      <w:r w:rsidRPr="00A017FA">
        <w:rPr>
          <w:sz w:val="28"/>
          <w:szCs w:val="28"/>
        </w:rPr>
        <w:t>302 жителя Свердловской области получили травмы различной степеней тяжести (что стабильно к аналогичному периоду прошлого года</w:t>
      </w:r>
      <w:r w:rsidR="00F128E5">
        <w:rPr>
          <w:sz w:val="28"/>
          <w:szCs w:val="28"/>
        </w:rPr>
        <w:t>);</w:t>
      </w:r>
    </w:p>
    <w:p w:rsidR="00A017FA" w:rsidRPr="00A017FA" w:rsidRDefault="00A017FA" w:rsidP="00CC7303">
      <w:pPr>
        <w:ind w:firstLine="720"/>
        <w:jc w:val="both"/>
        <w:rPr>
          <w:sz w:val="28"/>
          <w:szCs w:val="28"/>
        </w:rPr>
      </w:pPr>
      <w:r w:rsidRPr="00A017FA">
        <w:rPr>
          <w:sz w:val="28"/>
          <w:szCs w:val="28"/>
        </w:rPr>
        <w:t>Материальный ущерб от пожаров и их последствий составил 385,7 млн.руб. (снижение на 55,8</w:t>
      </w:r>
      <w:r w:rsidR="00AD2C1D">
        <w:rPr>
          <w:sz w:val="28"/>
          <w:szCs w:val="28"/>
        </w:rPr>
        <w:t xml:space="preserve"> </w:t>
      </w:r>
      <w:r w:rsidRPr="00A017FA">
        <w:rPr>
          <w:sz w:val="28"/>
          <w:szCs w:val="28"/>
        </w:rPr>
        <w:t>%));</w:t>
      </w:r>
    </w:p>
    <w:p w:rsidR="00A017FA" w:rsidRPr="00AD2C1D" w:rsidRDefault="00A017FA" w:rsidP="00CC7303">
      <w:pPr>
        <w:ind w:firstLine="720"/>
        <w:jc w:val="both"/>
        <w:rPr>
          <w:sz w:val="28"/>
          <w:szCs w:val="28"/>
        </w:rPr>
      </w:pPr>
      <w:r w:rsidRPr="00A017FA">
        <w:rPr>
          <w:sz w:val="28"/>
          <w:szCs w:val="28"/>
        </w:rPr>
        <w:t xml:space="preserve">Зарегистрировано выездов пожарных подразделений на ликвидацию </w:t>
      </w:r>
      <w:r w:rsidRPr="00AD2C1D">
        <w:rPr>
          <w:sz w:val="28"/>
          <w:szCs w:val="28"/>
        </w:rPr>
        <w:t>7547 загораний.</w:t>
      </w:r>
    </w:p>
    <w:p w:rsidR="00A017FA" w:rsidRPr="00AD2C1D" w:rsidRDefault="00A017FA" w:rsidP="00CC7303">
      <w:pPr>
        <w:ind w:firstLine="720"/>
        <w:jc w:val="both"/>
        <w:rPr>
          <w:sz w:val="28"/>
          <w:szCs w:val="28"/>
        </w:rPr>
      </w:pPr>
    </w:p>
    <w:p w:rsidR="00AA4375" w:rsidRPr="00FA218F" w:rsidRDefault="00AA4375" w:rsidP="00AA4375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 xml:space="preserve">Количество пожаров и их последствий в </w:t>
      </w:r>
      <w:r w:rsidR="0034623E">
        <w:rPr>
          <w:b/>
          <w:sz w:val="28"/>
          <w:szCs w:val="28"/>
        </w:rPr>
        <w:t>Свердловской области</w:t>
      </w:r>
    </w:p>
    <w:p w:rsidR="00F1269F" w:rsidRPr="00AD2C1D" w:rsidRDefault="00AD2C1D" w:rsidP="00C1073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119125" wp14:editId="0AFA0313">
            <wp:extent cx="6265545" cy="2730500"/>
            <wp:effectExtent l="0" t="0" r="1905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735" w:rsidRPr="00FA218F" w:rsidRDefault="00C10735" w:rsidP="00CC7303">
      <w:pPr>
        <w:ind w:firstLine="720"/>
        <w:jc w:val="both"/>
        <w:rPr>
          <w:sz w:val="16"/>
          <w:szCs w:val="16"/>
        </w:rPr>
      </w:pPr>
    </w:p>
    <w:p w:rsidR="00CC7303" w:rsidRPr="00A017FA" w:rsidRDefault="00A017FA" w:rsidP="00CC7303">
      <w:pPr>
        <w:ind w:firstLine="720"/>
        <w:jc w:val="both"/>
        <w:rPr>
          <w:sz w:val="28"/>
          <w:szCs w:val="28"/>
        </w:rPr>
      </w:pPr>
      <w:r w:rsidRPr="00A017FA">
        <w:rPr>
          <w:sz w:val="28"/>
          <w:szCs w:val="28"/>
        </w:rPr>
        <w:t xml:space="preserve">Подразделениями пожарной охраны на пожарах спасено 758 и эвакуировано 4252 человека, а </w:t>
      </w:r>
      <w:r w:rsidR="00AD2C1D" w:rsidRPr="00A017FA">
        <w:rPr>
          <w:sz w:val="28"/>
          <w:szCs w:val="28"/>
        </w:rPr>
        <w:t>также</w:t>
      </w:r>
      <w:r w:rsidRPr="00A017FA">
        <w:rPr>
          <w:sz w:val="28"/>
          <w:szCs w:val="28"/>
        </w:rPr>
        <w:t xml:space="preserve"> спасено материальных ценностей на сумму более 64,56 млн. рублей.</w:t>
      </w:r>
    </w:p>
    <w:p w:rsidR="001C4F2D" w:rsidRPr="00AD2C1D" w:rsidRDefault="00A017FA" w:rsidP="001C4F2D">
      <w:pPr>
        <w:ind w:firstLine="709"/>
        <w:jc w:val="both"/>
        <w:rPr>
          <w:sz w:val="28"/>
          <w:szCs w:val="28"/>
        </w:rPr>
      </w:pPr>
      <w:r w:rsidRPr="00A017FA">
        <w:rPr>
          <w:sz w:val="28"/>
          <w:szCs w:val="28"/>
        </w:rPr>
        <w:t xml:space="preserve">Ежедневно в Свердловской области происходило 9,7 пожаров, при которых погибали 0,8 человек и 0,8 человек получали травмы, огнем уничтожалось 2,6 строения, 0,5 единиц автотракторной техники. </w:t>
      </w:r>
      <w:r w:rsidRPr="00AD2C1D">
        <w:rPr>
          <w:sz w:val="28"/>
          <w:szCs w:val="28"/>
        </w:rPr>
        <w:t>Ежедневный материальный ущерб составил 1,1 млн. рублей.</w:t>
      </w:r>
    </w:p>
    <w:p w:rsidR="0010181E" w:rsidRPr="00FA218F" w:rsidRDefault="0010181E" w:rsidP="00CC7303">
      <w:pPr>
        <w:ind w:firstLine="720"/>
        <w:jc w:val="both"/>
        <w:rPr>
          <w:sz w:val="16"/>
          <w:szCs w:val="16"/>
        </w:rPr>
      </w:pPr>
    </w:p>
    <w:p w:rsidR="00AD2C1D" w:rsidRDefault="00AD2C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181E" w:rsidRPr="00FA218F" w:rsidRDefault="0010181E" w:rsidP="0010181E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lastRenderedPageBreak/>
        <w:t>Распределение количества пожаров по месяцам</w:t>
      </w:r>
    </w:p>
    <w:p w:rsidR="0010181E" w:rsidRPr="00FA218F" w:rsidRDefault="00AD2C1D" w:rsidP="001018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C32A57" wp14:editId="083BF365">
            <wp:extent cx="6310630" cy="2659380"/>
            <wp:effectExtent l="0" t="0" r="0" b="762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4DA6" w:rsidRDefault="00A017FA" w:rsidP="00804DA6">
      <w:pPr>
        <w:ind w:firstLine="720"/>
        <w:jc w:val="both"/>
        <w:rPr>
          <w:sz w:val="28"/>
          <w:szCs w:val="28"/>
        </w:rPr>
      </w:pPr>
      <w:r w:rsidRPr="00A017FA">
        <w:rPr>
          <w:sz w:val="28"/>
          <w:szCs w:val="28"/>
        </w:rPr>
        <w:t>Рост пожаров произошел в марте на +11,0 %, августе на +2,0 %, сентябре н</w:t>
      </w:r>
      <w:r w:rsidR="00AD2C1D">
        <w:rPr>
          <w:sz w:val="28"/>
          <w:szCs w:val="28"/>
        </w:rPr>
        <w:t>а +18,3 %, октябре на +4,1 %.</w:t>
      </w:r>
    </w:p>
    <w:p w:rsidR="00AD2C1D" w:rsidRPr="00FA218F" w:rsidRDefault="00AD2C1D" w:rsidP="00804DA6">
      <w:pPr>
        <w:ind w:firstLine="720"/>
        <w:jc w:val="both"/>
        <w:rPr>
          <w:sz w:val="28"/>
          <w:szCs w:val="28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и погибших людей по дням недели</w:t>
      </w:r>
    </w:p>
    <w:p w:rsidR="00FD4616" w:rsidRPr="00FD4616" w:rsidRDefault="00E13250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30765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2C1D" w:rsidRDefault="00AD2C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lastRenderedPageBreak/>
        <w:t>Количество пожаров и их последствий в городах</w:t>
      </w:r>
    </w:p>
    <w:p w:rsidR="00FD4616" w:rsidRPr="00FD4616" w:rsidRDefault="00AD2C1D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8D6AE65" wp14:editId="6EED2318">
            <wp:extent cx="6265572" cy="2730321"/>
            <wp:effectExtent l="0" t="0" r="1905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17FA" w:rsidRPr="00A017FA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В городах Свердловской области за истекший период зарегистрировано:</w:t>
      </w:r>
    </w:p>
    <w:p w:rsidR="00A017FA" w:rsidRPr="00A017FA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- 2572 пожара (</w:t>
      </w:r>
      <w:r w:rsidR="00213682">
        <w:rPr>
          <w:b w:val="0"/>
          <w:iCs w:val="0"/>
          <w:spacing w:val="0"/>
          <w:szCs w:val="28"/>
        </w:rPr>
        <w:t>снижение</w:t>
      </w:r>
      <w:r w:rsidR="00AD2C1D">
        <w:rPr>
          <w:b w:val="0"/>
          <w:iCs w:val="0"/>
          <w:spacing w:val="0"/>
          <w:szCs w:val="28"/>
        </w:rPr>
        <w:t xml:space="preserve"> на </w:t>
      </w:r>
      <w:r w:rsidRPr="00A017FA">
        <w:rPr>
          <w:b w:val="0"/>
          <w:iCs w:val="0"/>
          <w:spacing w:val="0"/>
          <w:szCs w:val="28"/>
        </w:rPr>
        <w:t>4,3</w:t>
      </w:r>
      <w:r w:rsidR="00AD2C1D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 к АППГ);</w:t>
      </w:r>
    </w:p>
    <w:p w:rsidR="00A017FA" w:rsidRPr="00A017FA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- погибли 171 человек (</w:t>
      </w:r>
      <w:r w:rsidR="00213682">
        <w:rPr>
          <w:b w:val="0"/>
          <w:iCs w:val="0"/>
          <w:spacing w:val="0"/>
          <w:szCs w:val="28"/>
        </w:rPr>
        <w:t>снижение</w:t>
      </w:r>
      <w:r w:rsidR="00213682" w:rsidRPr="00A017FA">
        <w:rPr>
          <w:b w:val="0"/>
          <w:iCs w:val="0"/>
          <w:spacing w:val="0"/>
          <w:szCs w:val="28"/>
        </w:rPr>
        <w:t xml:space="preserve"> </w:t>
      </w:r>
      <w:r w:rsidR="00213682">
        <w:rPr>
          <w:b w:val="0"/>
          <w:iCs w:val="0"/>
          <w:spacing w:val="0"/>
          <w:szCs w:val="28"/>
        </w:rPr>
        <w:t xml:space="preserve">на </w:t>
      </w:r>
      <w:r w:rsidRPr="00A017FA">
        <w:rPr>
          <w:b w:val="0"/>
          <w:iCs w:val="0"/>
          <w:spacing w:val="0"/>
          <w:szCs w:val="28"/>
        </w:rPr>
        <w:t>23,3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%), в том числе 4 ребенка (</w:t>
      </w:r>
      <w:r w:rsidR="00213682">
        <w:rPr>
          <w:b w:val="0"/>
          <w:iCs w:val="0"/>
          <w:spacing w:val="0"/>
          <w:szCs w:val="28"/>
        </w:rPr>
        <w:t>снижение</w:t>
      </w:r>
      <w:r w:rsidR="00AD2C1D">
        <w:rPr>
          <w:b w:val="0"/>
          <w:iCs w:val="0"/>
          <w:spacing w:val="0"/>
          <w:szCs w:val="28"/>
        </w:rPr>
        <w:t xml:space="preserve"> на </w:t>
      </w:r>
      <w:r w:rsidRPr="00A017FA">
        <w:rPr>
          <w:b w:val="0"/>
          <w:iCs w:val="0"/>
          <w:spacing w:val="0"/>
          <w:szCs w:val="28"/>
        </w:rPr>
        <w:t>75,0</w:t>
      </w:r>
      <w:r w:rsidR="00AD2C1D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%);</w:t>
      </w:r>
    </w:p>
    <w:p w:rsidR="00A017FA" w:rsidRPr="00A017FA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- получили травмы 253 человека (</w:t>
      </w:r>
      <w:r w:rsidR="00AD2C1D">
        <w:rPr>
          <w:b w:val="0"/>
          <w:iCs w:val="0"/>
          <w:spacing w:val="0"/>
          <w:szCs w:val="28"/>
        </w:rPr>
        <w:t>у</w:t>
      </w:r>
      <w:r w:rsidR="00AD2C1D">
        <w:rPr>
          <w:b w:val="0"/>
          <w:iCs w:val="0"/>
          <w:spacing w:val="0"/>
          <w:szCs w:val="28"/>
        </w:rPr>
        <w:t>в</w:t>
      </w:r>
      <w:r w:rsidR="00AD2C1D">
        <w:rPr>
          <w:b w:val="0"/>
          <w:iCs w:val="0"/>
          <w:spacing w:val="0"/>
          <w:szCs w:val="28"/>
        </w:rPr>
        <w:t>е</w:t>
      </w:r>
      <w:r w:rsidR="00AD2C1D">
        <w:rPr>
          <w:b w:val="0"/>
          <w:iCs w:val="0"/>
          <w:spacing w:val="0"/>
          <w:szCs w:val="28"/>
        </w:rPr>
        <w:t>лич</w:t>
      </w:r>
      <w:r w:rsidR="00AD2C1D">
        <w:rPr>
          <w:b w:val="0"/>
          <w:iCs w:val="0"/>
          <w:spacing w:val="0"/>
          <w:szCs w:val="28"/>
        </w:rPr>
        <w:t xml:space="preserve">ение на </w:t>
      </w:r>
      <w:r w:rsidRPr="00A017FA">
        <w:rPr>
          <w:b w:val="0"/>
          <w:iCs w:val="0"/>
          <w:spacing w:val="0"/>
          <w:szCs w:val="28"/>
        </w:rPr>
        <w:t>0,4 %);</w:t>
      </w:r>
    </w:p>
    <w:p w:rsidR="00A017FA" w:rsidRPr="00A017FA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- прямой материальный ущерб причинен в размере 243,1 млн.руб. (</w:t>
      </w:r>
      <w:r w:rsidR="00023117">
        <w:rPr>
          <w:b w:val="0"/>
          <w:iCs w:val="0"/>
          <w:spacing w:val="0"/>
          <w:szCs w:val="28"/>
        </w:rPr>
        <w:t>снижение</w:t>
      </w:r>
      <w:r w:rsidR="00AD2C1D">
        <w:rPr>
          <w:b w:val="0"/>
          <w:iCs w:val="0"/>
          <w:spacing w:val="0"/>
          <w:szCs w:val="28"/>
        </w:rPr>
        <w:t xml:space="preserve"> на </w:t>
      </w:r>
      <w:r w:rsidRPr="00A017FA">
        <w:rPr>
          <w:b w:val="0"/>
          <w:iCs w:val="0"/>
          <w:spacing w:val="0"/>
          <w:szCs w:val="28"/>
        </w:rPr>
        <w:t>59,0 %).</w:t>
      </w:r>
    </w:p>
    <w:p w:rsidR="00032DBB" w:rsidRPr="00FD4616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На города пришлось 72,6 % от общего количества пожаров в области, 63,0 % материального ущерба, 57,8 % числа погибших при пожарах людей и 83,8 %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сельской местности</w:t>
      </w:r>
    </w:p>
    <w:p w:rsidR="00FD4616" w:rsidRPr="00410079" w:rsidRDefault="00023117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C2A617A" wp14:editId="70EA5B43">
            <wp:extent cx="6294755" cy="2895600"/>
            <wp:effectExtent l="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017FA" w:rsidRPr="00A017FA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В сельской местности Свердловской области за истекший период зарегистрировано:</w:t>
      </w:r>
    </w:p>
    <w:p w:rsidR="00A017FA" w:rsidRPr="00A017FA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- 972 пожара (</w:t>
      </w:r>
      <w:r w:rsidR="00213682">
        <w:rPr>
          <w:b w:val="0"/>
          <w:iCs w:val="0"/>
          <w:spacing w:val="0"/>
          <w:szCs w:val="28"/>
        </w:rPr>
        <w:t>снижение</w:t>
      </w:r>
      <w:r w:rsidR="00023117">
        <w:rPr>
          <w:b w:val="0"/>
          <w:iCs w:val="0"/>
          <w:spacing w:val="0"/>
          <w:szCs w:val="28"/>
        </w:rPr>
        <w:t xml:space="preserve"> на </w:t>
      </w:r>
      <w:r w:rsidRPr="00A017FA">
        <w:rPr>
          <w:b w:val="0"/>
          <w:iCs w:val="0"/>
          <w:spacing w:val="0"/>
          <w:szCs w:val="28"/>
        </w:rPr>
        <w:t>6,4</w:t>
      </w:r>
      <w:r w:rsidR="00023117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 к АППГ);</w:t>
      </w:r>
    </w:p>
    <w:p w:rsidR="00A017FA" w:rsidRPr="00A017FA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- погибли 125 человек (</w:t>
      </w:r>
      <w:r w:rsidR="00213682">
        <w:rPr>
          <w:b w:val="0"/>
          <w:iCs w:val="0"/>
          <w:spacing w:val="0"/>
          <w:szCs w:val="28"/>
        </w:rPr>
        <w:t xml:space="preserve">увеличение на </w:t>
      </w:r>
      <w:r w:rsidRPr="00A017FA">
        <w:rPr>
          <w:b w:val="0"/>
          <w:iCs w:val="0"/>
          <w:spacing w:val="0"/>
          <w:szCs w:val="28"/>
        </w:rPr>
        <w:t>14,7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%), в том числе 5 детей (</w:t>
      </w:r>
      <w:r w:rsidR="00213682">
        <w:rPr>
          <w:b w:val="0"/>
          <w:iCs w:val="0"/>
          <w:spacing w:val="0"/>
          <w:szCs w:val="28"/>
        </w:rPr>
        <w:t xml:space="preserve">увеличение на </w:t>
      </w:r>
      <w:r w:rsidRPr="00A017FA">
        <w:rPr>
          <w:b w:val="0"/>
          <w:iCs w:val="0"/>
          <w:spacing w:val="0"/>
          <w:szCs w:val="28"/>
        </w:rPr>
        <w:t>25,0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%);</w:t>
      </w:r>
    </w:p>
    <w:p w:rsidR="00A017FA" w:rsidRPr="00A017FA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- получили травмы 49 человек (</w:t>
      </w:r>
      <w:r w:rsidR="00213682">
        <w:rPr>
          <w:b w:val="0"/>
          <w:iCs w:val="0"/>
          <w:spacing w:val="0"/>
          <w:szCs w:val="28"/>
        </w:rPr>
        <w:t>снижение</w:t>
      </w:r>
      <w:r w:rsidR="00023117">
        <w:rPr>
          <w:b w:val="0"/>
          <w:iCs w:val="0"/>
          <w:spacing w:val="0"/>
          <w:szCs w:val="28"/>
        </w:rPr>
        <w:t xml:space="preserve"> на </w:t>
      </w:r>
      <w:r w:rsidRPr="00A017FA">
        <w:rPr>
          <w:b w:val="0"/>
          <w:iCs w:val="0"/>
          <w:spacing w:val="0"/>
          <w:szCs w:val="28"/>
        </w:rPr>
        <w:t>2,0 %);</w:t>
      </w:r>
    </w:p>
    <w:p w:rsidR="00A017FA" w:rsidRPr="00A017FA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lastRenderedPageBreak/>
        <w:t>- прямой материальный ущерб причинен в размере 142,5 млн.руб. (</w:t>
      </w:r>
      <w:r w:rsidR="00213682">
        <w:rPr>
          <w:b w:val="0"/>
          <w:iCs w:val="0"/>
          <w:spacing w:val="0"/>
          <w:szCs w:val="28"/>
        </w:rPr>
        <w:t>снижение</w:t>
      </w:r>
      <w:r w:rsidR="00023117">
        <w:rPr>
          <w:b w:val="0"/>
          <w:iCs w:val="0"/>
          <w:spacing w:val="0"/>
          <w:szCs w:val="28"/>
        </w:rPr>
        <w:t xml:space="preserve"> на </w:t>
      </w:r>
      <w:r w:rsidRPr="00A017FA">
        <w:rPr>
          <w:b w:val="0"/>
          <w:iCs w:val="0"/>
          <w:spacing w:val="0"/>
          <w:szCs w:val="28"/>
        </w:rPr>
        <w:t>49,0 %).</w:t>
      </w:r>
    </w:p>
    <w:p w:rsidR="007439F7" w:rsidRPr="00FA218F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На сельскую местность пришлось 27,4 % от общего количества пожаров в области, 37,0 % материального ущерба, 42,2 % числа погибших при пожарах людей и 16,2 % травмированных.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410079" w:rsidRPr="00410079" w:rsidRDefault="00213682" w:rsidP="00410079">
      <w:pPr>
        <w:jc w:val="center"/>
        <w:rPr>
          <w:color w:val="000000"/>
          <w:sz w:val="28"/>
          <w:szCs w:val="28"/>
        </w:rPr>
      </w:pPr>
      <w:r w:rsidRPr="00CC7515">
        <w:rPr>
          <w:noProof/>
          <w:color w:val="000000"/>
        </w:rPr>
        <w:drawing>
          <wp:inline distT="0" distB="0" distL="0" distR="0" wp14:anchorId="33A396D1" wp14:editId="25DD9DB4">
            <wp:extent cx="6304476" cy="2871989"/>
            <wp:effectExtent l="0" t="0" r="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39F7" w:rsidRPr="00FA218F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 xml:space="preserve">Наибольшее количество пожаров зарегистрировано в жилом секторе. Их доля от общего числа пожаров по области составила 73,3 %. Гибель людей при пожарах в жилом секторе, от общего количества по области, составила 93,6 %, </w:t>
      </w:r>
      <w:proofErr w:type="gramStart"/>
      <w:r w:rsidRPr="00A017FA">
        <w:rPr>
          <w:b w:val="0"/>
          <w:iCs w:val="0"/>
          <w:spacing w:val="0"/>
          <w:szCs w:val="28"/>
        </w:rPr>
        <w:t>людей</w:t>
      </w:r>
      <w:proofErr w:type="gramEnd"/>
      <w:r w:rsidRPr="00A017FA">
        <w:rPr>
          <w:b w:val="0"/>
          <w:iCs w:val="0"/>
          <w:spacing w:val="0"/>
          <w:szCs w:val="28"/>
        </w:rPr>
        <w:t xml:space="preserve"> получивших травмы – 87,1 %.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A017FA" w:rsidRPr="00A017FA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Чаще всего пожары происходили в подсобных помещениях (3,47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%), на верандах (5,84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%), в саунах (7,7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%), в пристройках к зданиям (4,12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%), в жилых комнатах (25,99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%), на кухнях (3,24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%), на чердаках зданий (3,08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%), в прочих помещениях (12,39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%), в салонах (5,5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%), в отсеках двигателей (10,1</w:t>
      </w:r>
      <w:r w:rsidR="00213682">
        <w:rPr>
          <w:b w:val="0"/>
          <w:iCs w:val="0"/>
          <w:spacing w:val="0"/>
          <w:szCs w:val="28"/>
        </w:rPr>
        <w:t xml:space="preserve"> </w:t>
      </w:r>
      <w:r w:rsidRPr="00A017FA">
        <w:rPr>
          <w:b w:val="0"/>
          <w:iCs w:val="0"/>
          <w:spacing w:val="0"/>
          <w:szCs w:val="28"/>
        </w:rPr>
        <w:t>%).</w:t>
      </w:r>
    </w:p>
    <w:p w:rsidR="00BC5091" w:rsidRPr="00213682" w:rsidRDefault="00BC5091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 w:val="10"/>
          <w:szCs w:val="10"/>
        </w:rPr>
      </w:pP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410079" w:rsidRPr="00A017FA" w:rsidRDefault="00213682" w:rsidP="00410079">
      <w:pPr>
        <w:jc w:val="center"/>
        <w:rPr>
          <w:sz w:val="22"/>
          <w:szCs w:val="22"/>
        </w:rPr>
      </w:pPr>
      <w:r w:rsidRPr="00893BB1">
        <w:rPr>
          <w:noProof/>
        </w:rPr>
        <w:drawing>
          <wp:inline distT="0" distB="0" distL="0" distR="0" wp14:anchorId="2331EA3F" wp14:editId="4CF44A1A">
            <wp:extent cx="6207885" cy="3470856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410079" w:rsidRPr="00A017FA">
        <w:rPr>
          <w:sz w:val="22"/>
          <w:szCs w:val="22"/>
        </w:rPr>
        <w:t xml:space="preserve"> </w:t>
      </w:r>
    </w:p>
    <w:p w:rsidR="00A017FA" w:rsidRPr="00A017FA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lastRenderedPageBreak/>
        <w:t>За 12 месяцев 2017 года от неосторожного обращения с огнем произошло 22,0</w:t>
      </w:r>
      <w:r w:rsidR="00213682">
        <w:rPr>
          <w:b w:val="0"/>
          <w:iCs w:val="0"/>
          <w:spacing w:val="0"/>
          <w:szCs w:val="28"/>
        </w:rPr>
        <w:t> </w:t>
      </w:r>
      <w:r w:rsidRPr="00A017FA">
        <w:rPr>
          <w:b w:val="0"/>
          <w:iCs w:val="0"/>
          <w:spacing w:val="0"/>
          <w:szCs w:val="28"/>
        </w:rPr>
        <w:t xml:space="preserve">% (в </w:t>
      </w:r>
      <w:smartTag w:uri="urn:schemas-microsoft-com:office:smarttags" w:element="metricconverter">
        <w:smartTagPr>
          <w:attr w:name="ProductID" w:val="2016 г"/>
        </w:smartTagPr>
        <w:r w:rsidRPr="00A017FA">
          <w:rPr>
            <w:b w:val="0"/>
            <w:iCs w:val="0"/>
            <w:spacing w:val="0"/>
            <w:szCs w:val="28"/>
          </w:rPr>
          <w:t>2016 г</w:t>
        </w:r>
      </w:smartTag>
      <w:r w:rsidRPr="00A017FA">
        <w:rPr>
          <w:b w:val="0"/>
          <w:iCs w:val="0"/>
          <w:spacing w:val="0"/>
          <w:szCs w:val="28"/>
        </w:rPr>
        <w:t xml:space="preserve">. - 20,7 %) от общего количества пожаров, при которых погибли 164 человека (55,4 % от общего количества, в </w:t>
      </w:r>
      <w:smartTag w:uri="urn:schemas-microsoft-com:office:smarttags" w:element="metricconverter">
        <w:smartTagPr>
          <w:attr w:name="ProductID" w:val="2016 г"/>
        </w:smartTagPr>
        <w:r w:rsidRPr="00A017FA">
          <w:rPr>
            <w:b w:val="0"/>
            <w:iCs w:val="0"/>
            <w:spacing w:val="0"/>
            <w:szCs w:val="28"/>
          </w:rPr>
          <w:t>2016 г</w:t>
        </w:r>
      </w:smartTag>
      <w:r w:rsidRPr="00A017FA">
        <w:rPr>
          <w:b w:val="0"/>
          <w:iCs w:val="0"/>
          <w:spacing w:val="0"/>
          <w:szCs w:val="28"/>
        </w:rPr>
        <w:t>. - 54,8 %) и 158 человек получили травмы (52,3</w:t>
      </w:r>
      <w:r w:rsidR="00213682">
        <w:rPr>
          <w:b w:val="0"/>
          <w:iCs w:val="0"/>
          <w:spacing w:val="0"/>
          <w:szCs w:val="28"/>
        </w:rPr>
        <w:t> </w:t>
      </w:r>
      <w:r w:rsidRPr="00A017FA">
        <w:rPr>
          <w:b w:val="0"/>
          <w:iCs w:val="0"/>
          <w:spacing w:val="0"/>
          <w:szCs w:val="28"/>
        </w:rPr>
        <w:t xml:space="preserve">% от общего количества, в </w:t>
      </w:r>
      <w:smartTag w:uri="urn:schemas-microsoft-com:office:smarttags" w:element="metricconverter">
        <w:smartTagPr>
          <w:attr w:name="ProductID" w:val="2016 г"/>
        </w:smartTagPr>
        <w:r w:rsidRPr="00A017FA">
          <w:rPr>
            <w:b w:val="0"/>
            <w:iCs w:val="0"/>
            <w:spacing w:val="0"/>
            <w:szCs w:val="28"/>
          </w:rPr>
          <w:t>2016 г</w:t>
        </w:r>
      </w:smartTag>
      <w:r w:rsidRPr="00A017FA">
        <w:rPr>
          <w:b w:val="0"/>
          <w:iCs w:val="0"/>
          <w:spacing w:val="0"/>
          <w:szCs w:val="28"/>
        </w:rPr>
        <w:t>. - 53,3 %).</w:t>
      </w:r>
    </w:p>
    <w:p w:rsidR="0078763C" w:rsidRPr="00FA218F" w:rsidRDefault="00A017FA" w:rsidP="0078763C">
      <w:pPr>
        <w:pStyle w:val="a7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A017FA">
        <w:rPr>
          <w:b w:val="0"/>
          <w:iCs w:val="0"/>
          <w:spacing w:val="0"/>
          <w:szCs w:val="28"/>
        </w:rPr>
        <w:t>Значительное количество пожаров произошло по причинам нарушений правил устройства и эксплуатации электрооборудования (30,3 % от общего количества) и нарушений правил эксплуатации печного отопления (14,5 % от общего количества).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213682" w:rsidRDefault="00213682" w:rsidP="006E5474">
      <w:pPr>
        <w:ind w:firstLine="720"/>
        <w:jc w:val="both"/>
        <w:rPr>
          <w:color w:val="000000"/>
          <w:sz w:val="28"/>
          <w:szCs w:val="28"/>
        </w:rPr>
      </w:pPr>
    </w:p>
    <w:p w:rsidR="00A017FA" w:rsidRPr="00A017FA" w:rsidRDefault="00A017FA" w:rsidP="006E5474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A017FA" w:rsidRPr="00A017FA" w:rsidRDefault="00A017FA" w:rsidP="006E5474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>- количество пожаров, приходящихся на 100 тыс. населения 81,90 (за АППГ – 86,08);</w:t>
      </w:r>
    </w:p>
    <w:p w:rsidR="00A017FA" w:rsidRPr="00A017FA" w:rsidRDefault="00A017FA" w:rsidP="006E5474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 xml:space="preserve">- средний ущерб, приходящийся на один пожар, - 108,82 тыс. руб. (234,07); </w:t>
      </w:r>
    </w:p>
    <w:p w:rsidR="00A017FA" w:rsidRPr="00A017FA" w:rsidRDefault="00A017FA" w:rsidP="006E5474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 xml:space="preserve">- количество погибших при пожарах людей на 100 тыс. населения – 6,84 (7,67); </w:t>
      </w:r>
    </w:p>
    <w:p w:rsidR="00150853" w:rsidRDefault="00A017FA" w:rsidP="006E5474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>- количество травмированных при пожарах людей на 100 тыс. населения – 6,98 (6,98).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213682" w:rsidRPr="00FA218F" w:rsidRDefault="00213682" w:rsidP="006E5474">
      <w:pPr>
        <w:ind w:firstLine="720"/>
        <w:jc w:val="both"/>
        <w:rPr>
          <w:color w:val="000000"/>
          <w:sz w:val="28"/>
          <w:szCs w:val="28"/>
        </w:rPr>
      </w:pPr>
    </w:p>
    <w:p w:rsidR="00410079" w:rsidRPr="00FA218F" w:rsidRDefault="00410079" w:rsidP="00410079">
      <w:pPr>
        <w:ind w:firstLine="709"/>
        <w:jc w:val="both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погибших людей по часам суток, в т.ч. в нетрезвом виде</w:t>
      </w:r>
    </w:p>
    <w:p w:rsidR="00410079" w:rsidRPr="00FA218F" w:rsidRDefault="00E13250" w:rsidP="0041007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53125" cy="30099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127D" w:rsidRPr="00FA218F" w:rsidRDefault="00A017FA" w:rsidP="00B46152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>Основное время суток, когда погибали люди, это ночные и вечерние часы. Всего же за вечернее и ночное время (с 18-ти вечера до 6 часов утра) погибли 198 человек (66,9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% от общего количества), из них в нетрезвом виде - 63</w:t>
      </w:r>
      <w:r w:rsidR="00213682" w:rsidRPr="00213682">
        <w:rPr>
          <w:color w:val="000000"/>
          <w:sz w:val="28"/>
          <w:szCs w:val="28"/>
        </w:rPr>
        <w:t xml:space="preserve"> </w:t>
      </w:r>
      <w:r w:rsidR="00213682" w:rsidRPr="00A017FA">
        <w:rPr>
          <w:color w:val="000000"/>
          <w:sz w:val="28"/>
          <w:szCs w:val="28"/>
        </w:rPr>
        <w:t>человек</w:t>
      </w:r>
      <w:r w:rsidR="00213682">
        <w:rPr>
          <w:color w:val="000000"/>
          <w:sz w:val="28"/>
          <w:szCs w:val="28"/>
        </w:rPr>
        <w:t>а</w:t>
      </w:r>
      <w:r w:rsidRPr="00A017FA">
        <w:rPr>
          <w:color w:val="000000"/>
          <w:sz w:val="28"/>
          <w:szCs w:val="28"/>
        </w:rPr>
        <w:t>, что составляет 21,3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% от общего числа погибших.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A017FA" w:rsidRPr="00A017FA" w:rsidRDefault="00A017FA" w:rsidP="00B46152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>На пожарах больше погибало лиц мужского пола – 65,5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% от общего количества погибших, женщин – 34,5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% от общего количества.</w:t>
      </w:r>
    </w:p>
    <w:p w:rsidR="00B46152" w:rsidRPr="00FA218F" w:rsidRDefault="00BC5091" w:rsidP="00B46152">
      <w:pPr>
        <w:ind w:firstLine="720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B46152" w:rsidRPr="00FA218F" w:rsidRDefault="00A017FA" w:rsidP="00B46152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>Относительно аналогичного периода прошлого года количество погибших людей, находящихся в нетрезвом состоянии, снизилось на 23,8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%, с 126 человек до 96.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В городах этот процент составляет 29,8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% от общего числа погибших в городах, в сельской местности - 36,0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 xml:space="preserve">% от общего числа погибших в сельской местности.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753091" w:rsidRPr="00FA218F" w:rsidRDefault="00753091" w:rsidP="00273706">
      <w:pPr>
        <w:jc w:val="center"/>
        <w:rPr>
          <w:b/>
          <w:sz w:val="10"/>
          <w:szCs w:val="10"/>
        </w:rPr>
      </w:pPr>
    </w:p>
    <w:p w:rsidR="00213682" w:rsidRDefault="00213682" w:rsidP="00B46152">
      <w:pPr>
        <w:ind w:firstLine="720"/>
        <w:jc w:val="both"/>
        <w:rPr>
          <w:color w:val="000000"/>
          <w:sz w:val="28"/>
          <w:szCs w:val="28"/>
        </w:rPr>
      </w:pPr>
    </w:p>
    <w:p w:rsidR="00213682" w:rsidRDefault="00213682" w:rsidP="00B46152">
      <w:pPr>
        <w:ind w:firstLine="720"/>
        <w:jc w:val="both"/>
        <w:rPr>
          <w:color w:val="000000"/>
          <w:sz w:val="28"/>
          <w:szCs w:val="28"/>
        </w:rPr>
      </w:pPr>
    </w:p>
    <w:p w:rsidR="00213682" w:rsidRDefault="00213682" w:rsidP="00B46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пожарах погибли:</w:t>
      </w:r>
    </w:p>
    <w:p w:rsidR="00A017FA" w:rsidRPr="00A017FA" w:rsidRDefault="00213682" w:rsidP="00B461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017FA" w:rsidRPr="00A017FA">
        <w:rPr>
          <w:color w:val="000000"/>
          <w:sz w:val="28"/>
          <w:szCs w:val="28"/>
        </w:rPr>
        <w:t xml:space="preserve"> пенсионеров </w:t>
      </w:r>
      <w:r>
        <w:rPr>
          <w:color w:val="000000"/>
          <w:sz w:val="28"/>
          <w:szCs w:val="28"/>
        </w:rPr>
        <w:t xml:space="preserve">- </w:t>
      </w:r>
      <w:r w:rsidRPr="00A017FA">
        <w:rPr>
          <w:color w:val="000000"/>
          <w:sz w:val="28"/>
          <w:szCs w:val="28"/>
        </w:rPr>
        <w:t>108</w:t>
      </w:r>
      <w:r w:rsidRPr="00A017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человек </w:t>
      </w:r>
      <w:r w:rsidR="00A017FA" w:rsidRPr="00A017FA">
        <w:rPr>
          <w:color w:val="000000"/>
          <w:sz w:val="28"/>
          <w:szCs w:val="28"/>
        </w:rPr>
        <w:t xml:space="preserve">(36,5 % от общего количества), </w:t>
      </w:r>
    </w:p>
    <w:p w:rsidR="00A017FA" w:rsidRPr="00A017FA" w:rsidRDefault="00A017FA" w:rsidP="00B46152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 xml:space="preserve">- трудоспособного населения - 48 человек (16,2 %), </w:t>
      </w:r>
    </w:p>
    <w:p w:rsidR="00A017FA" w:rsidRPr="00A017FA" w:rsidRDefault="00A017FA" w:rsidP="00B46152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 xml:space="preserve">- безработных - 67 человек (22,6 %), </w:t>
      </w:r>
    </w:p>
    <w:p w:rsidR="00A017FA" w:rsidRPr="00A017FA" w:rsidRDefault="00A017FA" w:rsidP="00B46152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 xml:space="preserve">- нетрудоспособных иждивенцев (инвалидов) - 19 человек (6,4 %), </w:t>
      </w:r>
    </w:p>
    <w:p w:rsidR="00A017FA" w:rsidRPr="00A017FA" w:rsidRDefault="00A017FA" w:rsidP="00B46152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 xml:space="preserve">- лиц без определенного места жительства (БОМЖ) - 5 человек (1,7 %), </w:t>
      </w:r>
    </w:p>
    <w:p w:rsidR="00A017FA" w:rsidRPr="00A017FA" w:rsidRDefault="00A017FA" w:rsidP="00B46152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 xml:space="preserve">- иностранные граждане - 0 человек (0,0 %), </w:t>
      </w:r>
    </w:p>
    <w:p w:rsidR="00A017FA" w:rsidRPr="00A017FA" w:rsidRDefault="00A017FA" w:rsidP="00B46152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 xml:space="preserve">- лиц без гражданства - 0 человек (0,0 %), </w:t>
      </w:r>
    </w:p>
    <w:p w:rsidR="00A017FA" w:rsidRPr="00A017FA" w:rsidRDefault="00A017FA" w:rsidP="00B46152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 xml:space="preserve">- социальное положение не установлено - 41 человек (13,9 %). </w:t>
      </w:r>
    </w:p>
    <w:p w:rsidR="00256B4F" w:rsidRPr="00FA218F" w:rsidRDefault="00BC5091" w:rsidP="00B46152">
      <w:pPr>
        <w:ind w:firstLine="720"/>
        <w:jc w:val="both"/>
        <w:rPr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F23541" w:rsidRPr="00FA218F" w:rsidRDefault="00A017FA" w:rsidP="00F23541">
      <w:pPr>
        <w:ind w:firstLine="709"/>
        <w:jc w:val="both"/>
        <w:rPr>
          <w:sz w:val="28"/>
          <w:szCs w:val="28"/>
        </w:rPr>
      </w:pPr>
      <w:r w:rsidRPr="00A017FA">
        <w:rPr>
          <w:sz w:val="28"/>
          <w:szCs w:val="28"/>
        </w:rPr>
        <w:t xml:space="preserve">Детей школьного возраста погибло 3 человека (1,0 % от общего количества), дошкольников - 5 человек (1,7 %). </w:t>
      </w:r>
      <w:r w:rsidR="00BC5091" w:rsidRPr="00FA218F">
        <w:rPr>
          <w:sz w:val="28"/>
          <w:szCs w:val="28"/>
        </w:rPr>
        <w:t xml:space="preserve"> </w:t>
      </w:r>
    </w:p>
    <w:p w:rsidR="0036399C" w:rsidRPr="00213682" w:rsidRDefault="0036399C" w:rsidP="0036399C">
      <w:pPr>
        <w:ind w:firstLine="540"/>
        <w:jc w:val="both"/>
        <w:rPr>
          <w:color w:val="000000"/>
          <w:sz w:val="28"/>
          <w:szCs w:val="28"/>
        </w:rPr>
      </w:pPr>
    </w:p>
    <w:p w:rsidR="0036399C" w:rsidRPr="00FA218F" w:rsidRDefault="00A017FA" w:rsidP="00FA218F">
      <w:pPr>
        <w:ind w:firstLine="709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>За исследуемый период текущего года зарегистрирован 1 пожаров с групповой гибелью людей (пять и более человек), при котор</w:t>
      </w:r>
      <w:r w:rsidR="00213682">
        <w:rPr>
          <w:color w:val="000000"/>
          <w:sz w:val="28"/>
          <w:szCs w:val="28"/>
        </w:rPr>
        <w:t>ом</w:t>
      </w:r>
      <w:r w:rsidRPr="00A017FA">
        <w:rPr>
          <w:color w:val="000000"/>
          <w:sz w:val="28"/>
          <w:szCs w:val="28"/>
        </w:rPr>
        <w:t xml:space="preserve"> погибл</w:t>
      </w:r>
      <w:r w:rsidR="00213682">
        <w:rPr>
          <w:color w:val="000000"/>
          <w:sz w:val="28"/>
          <w:szCs w:val="28"/>
        </w:rPr>
        <w:t>и</w:t>
      </w:r>
      <w:r w:rsidRPr="00A017FA">
        <w:rPr>
          <w:color w:val="000000"/>
          <w:sz w:val="28"/>
          <w:szCs w:val="28"/>
        </w:rPr>
        <w:t xml:space="preserve"> 5 человек.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36399C" w:rsidRPr="00213682" w:rsidRDefault="0036399C" w:rsidP="0036399C">
      <w:pPr>
        <w:ind w:firstLine="540"/>
        <w:jc w:val="both"/>
        <w:rPr>
          <w:color w:val="000000"/>
          <w:sz w:val="28"/>
          <w:szCs w:val="28"/>
        </w:rPr>
      </w:pPr>
    </w:p>
    <w:p w:rsidR="00A017FA" w:rsidRPr="00A017FA" w:rsidRDefault="00A017FA" w:rsidP="00FA218F">
      <w:pPr>
        <w:ind w:firstLine="709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>Наибольшее количество тел погибших людей было обнаружено на веранде (13,18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%), в пристройке к зданию (3,38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%), в жилой комнате (59,12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%), в коридоре (2,7</w:t>
      </w:r>
      <w:r w:rsidR="00213682">
        <w:rPr>
          <w:color w:val="000000"/>
          <w:sz w:val="28"/>
          <w:szCs w:val="28"/>
        </w:rPr>
        <w:t> </w:t>
      </w:r>
      <w:r w:rsidRPr="00A017FA">
        <w:rPr>
          <w:color w:val="000000"/>
          <w:sz w:val="28"/>
          <w:szCs w:val="28"/>
        </w:rPr>
        <w:t>%), на кухне (3,72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%), в прочих помещениях (6,08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%), в отсеке двигателя (2,36</w:t>
      </w:r>
      <w:r w:rsidR="00213682">
        <w:rPr>
          <w:color w:val="000000"/>
          <w:sz w:val="28"/>
          <w:szCs w:val="28"/>
        </w:rPr>
        <w:t> </w:t>
      </w:r>
      <w:r w:rsidRPr="00A017FA">
        <w:rPr>
          <w:color w:val="000000"/>
          <w:sz w:val="28"/>
          <w:szCs w:val="28"/>
        </w:rPr>
        <w:t>%).</w:t>
      </w:r>
    </w:p>
    <w:p w:rsidR="0036399C" w:rsidRPr="00FA218F" w:rsidRDefault="00BC5091" w:rsidP="00FA218F">
      <w:pPr>
        <w:ind w:firstLine="709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4D1112" w:rsidRPr="00FA218F" w:rsidRDefault="004D1112" w:rsidP="004D1112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Основные причины гибели людей при пожарах</w:t>
      </w:r>
    </w:p>
    <w:p w:rsidR="004D1112" w:rsidRPr="004D1112" w:rsidRDefault="00E13250" w:rsidP="004D111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029325" cy="31432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3B13" w:rsidRPr="00FA218F" w:rsidRDefault="00A017FA" w:rsidP="009B3B13">
      <w:pPr>
        <w:ind w:firstLine="720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 xml:space="preserve">Вследствие воздействия продуктов горения погибли 210 человек (70,9 % от общего количества), от воздействия высокой температуры - 47 человек (15,9 %). </w:t>
      </w:r>
      <w:r w:rsidRPr="00213682">
        <w:rPr>
          <w:color w:val="000000"/>
          <w:sz w:val="28"/>
          <w:szCs w:val="28"/>
        </w:rPr>
        <w:t xml:space="preserve">Прочие причины гибели людей - 33 человека (11,1 % от общего количества). 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9B3B13" w:rsidP="00FF11A8">
      <w:pPr>
        <w:jc w:val="both"/>
        <w:rPr>
          <w:color w:val="000000"/>
          <w:sz w:val="16"/>
          <w:szCs w:val="16"/>
        </w:rPr>
      </w:pPr>
      <w:r w:rsidRPr="00FA218F">
        <w:rPr>
          <w:color w:val="000000"/>
          <w:sz w:val="16"/>
          <w:szCs w:val="16"/>
        </w:rPr>
        <w:tab/>
      </w:r>
    </w:p>
    <w:p w:rsidR="00BB64CB" w:rsidRPr="00FA218F" w:rsidRDefault="00BB64CB" w:rsidP="00BB64CB">
      <w:pPr>
        <w:ind w:firstLine="709"/>
        <w:jc w:val="both"/>
        <w:rPr>
          <w:color w:val="000000"/>
          <w:sz w:val="16"/>
          <w:szCs w:val="16"/>
        </w:rPr>
      </w:pPr>
    </w:p>
    <w:p w:rsidR="00213682" w:rsidRDefault="002136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1112" w:rsidRPr="004D1112" w:rsidRDefault="004D1112" w:rsidP="004D1112">
      <w:pPr>
        <w:jc w:val="center"/>
        <w:rPr>
          <w:b/>
          <w:sz w:val="28"/>
          <w:szCs w:val="28"/>
        </w:rPr>
      </w:pPr>
      <w:r w:rsidRPr="004D1112">
        <w:rPr>
          <w:b/>
          <w:sz w:val="28"/>
          <w:szCs w:val="28"/>
        </w:rPr>
        <w:lastRenderedPageBreak/>
        <w:t>Увеличение показателей по пожарам и их последствиям в муниципальных образованиях Свердловской области</w:t>
      </w:r>
    </w:p>
    <w:p w:rsidR="00BB64CB" w:rsidRPr="00FA218F" w:rsidRDefault="00A017FA" w:rsidP="00BB64CB">
      <w:pPr>
        <w:ind w:firstLine="709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>Произошел одновременный рост количества пожаров, погибших и травмированных при них людей в Малышевском ГО (+18,2%,</w:t>
      </w:r>
      <w:r w:rsidR="00213682">
        <w:rPr>
          <w:color w:val="000000"/>
          <w:sz w:val="28"/>
          <w:szCs w:val="28"/>
        </w:rPr>
        <w:t xml:space="preserve"> </w:t>
      </w:r>
      <w:proofErr w:type="gramStart"/>
      <w:r w:rsidRPr="00A017FA">
        <w:rPr>
          <w:color w:val="000000"/>
          <w:sz w:val="28"/>
          <w:szCs w:val="28"/>
        </w:rPr>
        <w:t>увел.,</w:t>
      </w:r>
      <w:proofErr w:type="gramEnd"/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увел. соответственно), Ивдельском ГО (+33,3%,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+200,0%,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+100,0%), ГО Красноуфимск (+2,5%,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+125,0%,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+133,3%), ГО Дегтярск (+9,5%,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+50,0%,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увел.).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BC5091" w:rsidRPr="00FA218F" w:rsidRDefault="00A017FA" w:rsidP="00FA218F">
      <w:pPr>
        <w:ind w:firstLine="709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>Зарегистрирован рост количества пожаров и погибших при них людей в ГО Рефтинский (+10,0%,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увел. соответственно), Белоярском ГО (+4,6%,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+200,0%), ГО Заречный (+6,7%,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+300,0%), МО город Ирбит (+3,4%,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+40,0%), Слободотуринском МР (+8,7%,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увел.).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CC7303" w:rsidRPr="00FA218F" w:rsidRDefault="00A017FA" w:rsidP="00FA218F">
      <w:pPr>
        <w:ind w:firstLine="709"/>
        <w:jc w:val="both"/>
        <w:rPr>
          <w:color w:val="000000"/>
          <w:sz w:val="28"/>
          <w:szCs w:val="28"/>
        </w:rPr>
      </w:pPr>
      <w:r w:rsidRPr="00A017FA">
        <w:rPr>
          <w:color w:val="000000"/>
          <w:sz w:val="28"/>
          <w:szCs w:val="28"/>
        </w:rPr>
        <w:t>Одновременный рост числа пожаров и травмированных людей произошел в г.</w:t>
      </w:r>
      <w:r w:rsidR="00213682">
        <w:rPr>
          <w:color w:val="000000"/>
          <w:sz w:val="28"/>
          <w:szCs w:val="28"/>
        </w:rPr>
        <w:t> </w:t>
      </w:r>
      <w:r w:rsidRPr="00A017FA">
        <w:rPr>
          <w:color w:val="000000"/>
          <w:sz w:val="28"/>
          <w:szCs w:val="28"/>
        </w:rPr>
        <w:t>Нижний Тагил (+4,3%,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+16,7% соответственно), ГО Сухой Лог (+4,5%,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+33,3%), Шалинском ГО (+20,5%,</w:t>
      </w:r>
      <w:r w:rsidR="00213682">
        <w:rPr>
          <w:color w:val="000000"/>
          <w:sz w:val="28"/>
          <w:szCs w:val="28"/>
        </w:rPr>
        <w:t xml:space="preserve"> </w:t>
      </w:r>
      <w:r w:rsidRPr="00A017FA">
        <w:rPr>
          <w:color w:val="000000"/>
          <w:sz w:val="28"/>
          <w:szCs w:val="28"/>
        </w:rPr>
        <w:t>+100,0%).</w:t>
      </w:r>
      <w:r w:rsidR="00BC5091" w:rsidRPr="00FA218F">
        <w:rPr>
          <w:color w:val="000000"/>
          <w:sz w:val="28"/>
          <w:szCs w:val="28"/>
        </w:rPr>
        <w:t xml:space="preserve"> </w:t>
      </w:r>
    </w:p>
    <w:p w:rsidR="00025F64" w:rsidRPr="00FA218F" w:rsidRDefault="00A017FA" w:rsidP="00CC7303">
      <w:pPr>
        <w:ind w:firstLine="720"/>
        <w:jc w:val="both"/>
        <w:rPr>
          <w:sz w:val="28"/>
          <w:szCs w:val="28"/>
        </w:rPr>
      </w:pPr>
      <w:r w:rsidRPr="00A017FA">
        <w:rPr>
          <w:sz w:val="28"/>
          <w:szCs w:val="28"/>
        </w:rPr>
        <w:t>Отмечается одновременный рост числа погибших и травмированных при пожарах людей в Алапаевском МО (+50,0%,</w:t>
      </w:r>
      <w:r w:rsidR="00213682">
        <w:rPr>
          <w:sz w:val="28"/>
          <w:szCs w:val="28"/>
        </w:rPr>
        <w:t xml:space="preserve"> </w:t>
      </w:r>
      <w:r w:rsidRPr="00A017FA">
        <w:rPr>
          <w:sz w:val="28"/>
          <w:szCs w:val="28"/>
        </w:rPr>
        <w:t>+200,0% соответственно), Артёмовском ГО (+150,0%,</w:t>
      </w:r>
      <w:r w:rsidR="00213682">
        <w:rPr>
          <w:sz w:val="28"/>
          <w:szCs w:val="28"/>
        </w:rPr>
        <w:t xml:space="preserve"> </w:t>
      </w:r>
      <w:r w:rsidRPr="00A017FA">
        <w:rPr>
          <w:sz w:val="28"/>
          <w:szCs w:val="28"/>
        </w:rPr>
        <w:t>+100,0%), ГО Красноуральск (+200,0%,</w:t>
      </w:r>
      <w:r w:rsidR="00213682">
        <w:rPr>
          <w:sz w:val="28"/>
          <w:szCs w:val="28"/>
        </w:rPr>
        <w:t xml:space="preserve"> </w:t>
      </w:r>
      <w:r w:rsidRPr="00A017FA">
        <w:rPr>
          <w:sz w:val="28"/>
          <w:szCs w:val="28"/>
        </w:rPr>
        <w:t>+200,0%), Кушвинском ГО (+100,0%,</w:t>
      </w:r>
      <w:r w:rsidR="00213682">
        <w:rPr>
          <w:sz w:val="28"/>
          <w:szCs w:val="28"/>
        </w:rPr>
        <w:t xml:space="preserve"> </w:t>
      </w:r>
      <w:r w:rsidRPr="00A017FA">
        <w:rPr>
          <w:sz w:val="28"/>
          <w:szCs w:val="28"/>
        </w:rPr>
        <w:t>+300,0%), Режевском ГО (+166,7%,</w:t>
      </w:r>
      <w:r w:rsidR="00213682">
        <w:rPr>
          <w:sz w:val="28"/>
          <w:szCs w:val="28"/>
        </w:rPr>
        <w:t xml:space="preserve"> </w:t>
      </w:r>
      <w:r w:rsidRPr="00A017FA">
        <w:rPr>
          <w:sz w:val="28"/>
          <w:szCs w:val="28"/>
        </w:rPr>
        <w:t>+50,0%).</w:t>
      </w:r>
      <w:r w:rsidR="00BC5091" w:rsidRPr="00FA218F">
        <w:rPr>
          <w:sz w:val="28"/>
          <w:szCs w:val="28"/>
        </w:rPr>
        <w:t xml:space="preserve"> </w:t>
      </w:r>
    </w:p>
    <w:p w:rsidR="00A017FA" w:rsidRPr="00A017FA" w:rsidRDefault="00A017FA" w:rsidP="00FB30DB">
      <w:pPr>
        <w:ind w:firstLine="720"/>
        <w:jc w:val="both"/>
        <w:rPr>
          <w:sz w:val="28"/>
          <w:szCs w:val="28"/>
        </w:rPr>
      </w:pPr>
      <w:r w:rsidRPr="00A017FA">
        <w:rPr>
          <w:sz w:val="28"/>
          <w:szCs w:val="28"/>
        </w:rPr>
        <w:t>В 7 муниципальных образованиях Свердловской области отмечается увеличение числа пожаров (Асбестовском ГО (+9,4%), Ачитском ГО (+11,1%), Горноуральском ГО (+8,1%), Бисертском ГО (+25,0%), Нижнетуринском ГО (+2,4%), ГО Первоуральск (+29,8%), Арамильском ГО (+45,5%)).</w:t>
      </w:r>
    </w:p>
    <w:p w:rsidR="00FB30DB" w:rsidRPr="00A017FA" w:rsidRDefault="00707789" w:rsidP="00FB30DB">
      <w:pPr>
        <w:ind w:firstLine="720"/>
        <w:jc w:val="both"/>
        <w:rPr>
          <w:sz w:val="28"/>
          <w:szCs w:val="28"/>
        </w:rPr>
      </w:pPr>
      <w:r w:rsidRPr="00A017FA">
        <w:rPr>
          <w:sz w:val="28"/>
          <w:szCs w:val="28"/>
        </w:rPr>
        <w:t xml:space="preserve"> </w:t>
      </w:r>
    </w:p>
    <w:p w:rsidR="00A017FA" w:rsidRPr="00A017FA" w:rsidRDefault="00A017FA" w:rsidP="00FA218F">
      <w:pPr>
        <w:ind w:firstLine="709"/>
        <w:jc w:val="both"/>
        <w:rPr>
          <w:sz w:val="28"/>
          <w:szCs w:val="28"/>
        </w:rPr>
      </w:pPr>
      <w:r w:rsidRPr="00A017FA">
        <w:rPr>
          <w:sz w:val="28"/>
          <w:szCs w:val="28"/>
        </w:rPr>
        <w:t>В 13 муниципальных образованиях Свердловской области отмечается увеличение числа погибших при пожарах людей (Артинском ГО (+400,0%), ГО Верхнее Дуброво (+100,0%), Берёзовском ГО (+40,0%), ГО Верхняя Пышма (+25,0%), МО Камышловском муниципальном районе (+100,0%), Качканарском ГО (увел.), ГО Краснотурьинск (+66,7%), Невьянском ГО (+33,3%), ГО Верх-Нейвинский (увел.), Нижнесергинском МР (+100,0%), Пышминском ГО (+200,0%), Сосьвинском ГО (увел.), Сысертском ГО (+57,1%)).</w:t>
      </w:r>
    </w:p>
    <w:p w:rsidR="00032DBB" w:rsidRPr="00A017FA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A017FA" w:rsidRPr="00A017FA" w:rsidRDefault="00A017FA" w:rsidP="00FA218F">
      <w:pPr>
        <w:ind w:firstLine="709"/>
        <w:jc w:val="both"/>
        <w:rPr>
          <w:sz w:val="28"/>
          <w:szCs w:val="28"/>
        </w:rPr>
      </w:pPr>
      <w:r w:rsidRPr="00A017FA">
        <w:rPr>
          <w:sz w:val="28"/>
          <w:szCs w:val="28"/>
        </w:rPr>
        <w:t>В 5 муниципальных образованиях Свердловской области отмечается увеличение числа погибших при пожарах детей (МО городе Алапаевске (увел.), ГО Карпинск (увел.), МО Красноуфимский округ (увел.), ГО Первоуральск</w:t>
      </w:r>
      <w:r w:rsidR="00213682">
        <w:rPr>
          <w:sz w:val="28"/>
          <w:szCs w:val="28"/>
        </w:rPr>
        <w:t xml:space="preserve"> (увел.), Сысертском ГО (увел.)</w:t>
      </w:r>
      <w:r w:rsidRPr="00A017FA">
        <w:rPr>
          <w:sz w:val="28"/>
          <w:szCs w:val="28"/>
        </w:rPr>
        <w:t>).</w:t>
      </w:r>
    </w:p>
    <w:p w:rsidR="00025F64" w:rsidRPr="00FA218F" w:rsidRDefault="00032DBB" w:rsidP="00FA218F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A017FA" w:rsidRPr="00A017FA" w:rsidRDefault="00A017FA" w:rsidP="00AF0F9B">
      <w:pPr>
        <w:ind w:firstLine="709"/>
        <w:jc w:val="both"/>
        <w:rPr>
          <w:sz w:val="28"/>
          <w:szCs w:val="28"/>
        </w:rPr>
      </w:pPr>
      <w:r w:rsidRPr="00A017FA">
        <w:rPr>
          <w:sz w:val="28"/>
          <w:szCs w:val="28"/>
        </w:rPr>
        <w:t>В 11 муниципальных образованиях Свердловской области отмечается увеличение числа травмированных при пожарах людей (ГО Богданович (+100,0%), ГО Верхотурский (+150,0%), Гаринском ГО (увел.), ГО Верхний Тагил (+25,0%), МО Красноуфимский округ (+200,0%), ГО Верхняя Тура (увел.), Полевском ГО (+100,0%), Североуральском ГО (+400,0%), Серовском ГО (+112,5%), Таборинском МР (увел.), ГО Староуткинск (+100,0%)).</w:t>
      </w:r>
      <w:bookmarkStart w:id="0" w:name="_GoBack"/>
      <w:bookmarkEnd w:id="0"/>
    </w:p>
    <w:p w:rsidR="00AF0F9B" w:rsidRPr="00FA218F" w:rsidRDefault="00032DBB" w:rsidP="00AF0F9B">
      <w:pPr>
        <w:ind w:firstLine="709"/>
        <w:jc w:val="both"/>
        <w:rPr>
          <w:sz w:val="28"/>
          <w:szCs w:val="28"/>
        </w:rPr>
      </w:pPr>
      <w:r w:rsidRPr="00FA218F">
        <w:rPr>
          <w:sz w:val="28"/>
          <w:szCs w:val="28"/>
        </w:rPr>
        <w:t xml:space="preserve"> </w:t>
      </w:r>
    </w:p>
    <w:p w:rsidR="004D1112" w:rsidRDefault="004D1112" w:rsidP="00DF0584">
      <w:pPr>
        <w:ind w:firstLine="709"/>
        <w:jc w:val="both"/>
        <w:rPr>
          <w:sz w:val="28"/>
          <w:szCs w:val="28"/>
        </w:rPr>
      </w:pPr>
      <w:bookmarkStart w:id="1" w:name="z28"/>
      <w:bookmarkEnd w:id="1"/>
    </w:p>
    <w:sectPr w:rsidR="004D1112" w:rsidSect="00BE1F04">
      <w:footerReference w:type="even" r:id="rId16"/>
      <w:footerReference w:type="default" r:id="rId17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E70" w:rsidRDefault="003F5E70">
      <w:r>
        <w:separator/>
      </w:r>
    </w:p>
  </w:endnote>
  <w:endnote w:type="continuationSeparator" w:id="0">
    <w:p w:rsidR="003F5E70" w:rsidRDefault="003F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3682">
      <w:rPr>
        <w:rStyle w:val="a8"/>
        <w:noProof/>
      </w:rPr>
      <w:t>4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E70" w:rsidRDefault="003F5E70">
      <w:r>
        <w:separator/>
      </w:r>
    </w:p>
  </w:footnote>
  <w:footnote w:type="continuationSeparator" w:id="0">
    <w:p w:rsidR="003F5E70" w:rsidRDefault="003F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50"/>
    <w:rsid w:val="00001DDA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EDD"/>
    <w:rsid w:val="00022112"/>
    <w:rsid w:val="00023117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682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3F5E70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ED4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3705"/>
    <w:rsid w:val="006D4DEB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B4C"/>
    <w:rsid w:val="009F5BCA"/>
    <w:rsid w:val="009F5D79"/>
    <w:rsid w:val="009F62F8"/>
    <w:rsid w:val="009F7EC0"/>
    <w:rsid w:val="00A00743"/>
    <w:rsid w:val="00A01190"/>
    <w:rsid w:val="00A017FA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A09CF"/>
    <w:rsid w:val="00AA158E"/>
    <w:rsid w:val="00AA2B41"/>
    <w:rsid w:val="00AA3D1A"/>
    <w:rsid w:val="00AA4375"/>
    <w:rsid w:val="00AA46C7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2C1D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3A60"/>
    <w:rsid w:val="00B356A4"/>
    <w:rsid w:val="00B4159C"/>
    <w:rsid w:val="00B41E1A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1D12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3250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559C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28E5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9BA6A8DB-4BB8-490B-BB1D-462AF661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1">
    <w:name w:val=" Знак"/>
    <w:basedOn w:val="a"/>
    <w:link w:val="a0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Analiz_CO_gubernator_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3.xlsm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8.xlsm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9.xlsm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-1.418439716312056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3725</c:v>
                </c:pt>
                <c:pt idx="1">
                  <c:v>332</c:v>
                </c:pt>
                <c:pt idx="2">
                  <c:v>302</c:v>
                </c:pt>
                <c:pt idx="3">
                  <c:v>871.9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dLbl>
              <c:idx val="3"/>
              <c:layout>
                <c:manualLayout>
                  <c:x val="1.2161751292186074E-2"/>
                  <c:y val="-4.65116279069767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3544</c:v>
                </c:pt>
                <c:pt idx="1">
                  <c:v>296</c:v>
                </c:pt>
                <c:pt idx="2">
                  <c:v>302</c:v>
                </c:pt>
                <c:pt idx="3">
                  <c:v>385.7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4946608"/>
        <c:axId val="274944648"/>
      </c:barChart>
      <c:catAx>
        <c:axId val="27494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4944648"/>
        <c:crosses val="autoZero"/>
        <c:auto val="1"/>
        <c:lblAlgn val="ctr"/>
        <c:lblOffset val="100"/>
        <c:noMultiLvlLbl val="0"/>
      </c:catAx>
      <c:valAx>
        <c:axId val="274944648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4946608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11444499202142E-2"/>
          <c:y val="5.3020628868382859E-2"/>
          <c:w val="0.90530121398338992"/>
          <c:h val="0.71233482992276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329</c:v>
                </c:pt>
                <c:pt idx="1">
                  <c:v>291</c:v>
                </c:pt>
                <c:pt idx="2">
                  <c:v>263</c:v>
                </c:pt>
                <c:pt idx="3">
                  <c:v>323</c:v>
                </c:pt>
                <c:pt idx="4">
                  <c:v>429</c:v>
                </c:pt>
                <c:pt idx="5">
                  <c:v>321</c:v>
                </c:pt>
                <c:pt idx="6">
                  <c:v>285</c:v>
                </c:pt>
                <c:pt idx="7">
                  <c:v>245</c:v>
                </c:pt>
                <c:pt idx="8">
                  <c:v>246</c:v>
                </c:pt>
                <c:pt idx="9">
                  <c:v>290</c:v>
                </c:pt>
                <c:pt idx="10">
                  <c:v>339</c:v>
                </c:pt>
                <c:pt idx="11">
                  <c:v>364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320</c:v>
                </c:pt>
                <c:pt idx="1">
                  <c:v>242</c:v>
                </c:pt>
                <c:pt idx="2">
                  <c:v>292</c:v>
                </c:pt>
                <c:pt idx="3">
                  <c:v>301</c:v>
                </c:pt>
                <c:pt idx="4">
                  <c:v>393</c:v>
                </c:pt>
                <c:pt idx="5">
                  <c:v>274</c:v>
                </c:pt>
                <c:pt idx="6">
                  <c:v>271</c:v>
                </c:pt>
                <c:pt idx="7">
                  <c:v>250</c:v>
                </c:pt>
                <c:pt idx="8">
                  <c:v>291</c:v>
                </c:pt>
                <c:pt idx="9">
                  <c:v>302</c:v>
                </c:pt>
                <c:pt idx="10">
                  <c:v>260</c:v>
                </c:pt>
                <c:pt idx="11">
                  <c:v>348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4945040"/>
        <c:axId val="274945824"/>
      </c:barChart>
      <c:catAx>
        <c:axId val="274945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4945824"/>
        <c:crosses val="autoZero"/>
        <c:auto val="1"/>
        <c:lblAlgn val="ctr"/>
        <c:lblOffset val="100"/>
        <c:noMultiLvlLbl val="0"/>
      </c:catAx>
      <c:valAx>
        <c:axId val="274945824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49450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06557377049182E-2"/>
          <c:y val="7.0287539936102233E-2"/>
          <c:w val="0.90163934426229508"/>
          <c:h val="0.712460063897763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(2)'!$B$27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50000">
                  <a:srgbClr xmlns:mc="http://schemas.openxmlformats.org/markup-compatibility/2006" xmlns:a14="http://schemas.microsoft.com/office/drawing/2010/main" val="FDFDFF" mc:Ignorable="a14" a14:legacySpreadsheetColorIndex="12">
                    <a:gamma/>
                    <a:tint val="5294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(2)'!$B$28:$B$34</c:f>
              <c:numCache>
                <c:formatCode>General</c:formatCode>
                <c:ptCount val="7"/>
                <c:pt idx="0">
                  <c:v>516</c:v>
                </c:pt>
                <c:pt idx="1">
                  <c:v>502</c:v>
                </c:pt>
                <c:pt idx="2">
                  <c:v>453</c:v>
                </c:pt>
                <c:pt idx="3">
                  <c:v>462</c:v>
                </c:pt>
                <c:pt idx="4">
                  <c:v>489</c:v>
                </c:pt>
                <c:pt idx="5">
                  <c:v>564</c:v>
                </c:pt>
                <c:pt idx="6">
                  <c:v>558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274950920"/>
        <c:axId val="274948960"/>
      </c:barChart>
      <c:lineChart>
        <c:grouping val="standard"/>
        <c:varyColors val="0"/>
        <c:ser>
          <c:idx val="0"/>
          <c:order val="1"/>
          <c:tx>
            <c:strRef>
              <c:f>'для Word (2)'!$C$27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793902454994253E-2"/>
                  <c:y val="-1.51724713378967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09141661402565E-2"/>
                  <c:y val="-9.694180120579820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110073187473886E-2"/>
                  <c:y val="-1.21173884313234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407587346505172E-2"/>
                  <c:y val="-7.06530245722869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622965231428826E-2"/>
                  <c:y val="-5.857219706605576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559654591762357E-2"/>
                  <c:y val="-8.575039060878475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85716875079381E-2"/>
                  <c:y val="-1.28890682994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(2)'!$C$28:$C$34</c:f>
              <c:numCache>
                <c:formatCode>General</c:formatCode>
                <c:ptCount val="7"/>
                <c:pt idx="0">
                  <c:v>41</c:v>
                </c:pt>
                <c:pt idx="1">
                  <c:v>46</c:v>
                </c:pt>
                <c:pt idx="2">
                  <c:v>34</c:v>
                </c:pt>
                <c:pt idx="3">
                  <c:v>43</c:v>
                </c:pt>
                <c:pt idx="4">
                  <c:v>30</c:v>
                </c:pt>
                <c:pt idx="5">
                  <c:v>56</c:v>
                </c:pt>
                <c:pt idx="6">
                  <c:v>46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4950920"/>
        <c:axId val="274948960"/>
      </c:lineChart>
      <c:lineChart>
        <c:grouping val="standard"/>
        <c:varyColors val="0"/>
        <c:ser>
          <c:idx val="2"/>
          <c:order val="2"/>
          <c:tx>
            <c:strRef>
              <c:f>'для Word (2)'!$D$27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0251986102909217E-2"/>
                  <c:y val="4.082284356341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664254360301246E-2"/>
                  <c:y val="4.4057993725076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12553388456918E-2"/>
                  <c:y val="5.2153651319505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423048043600521E-2"/>
                  <c:y val="5.291640461875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917114453114299E-2"/>
                  <c:y val="6.2576661492818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296426764267473E-2"/>
                  <c:y val="4.92696727531359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872629447889048E-2"/>
                  <c:y val="5.7754859397063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(2)'!$D$28:$D$34</c:f>
              <c:numCache>
                <c:formatCode>General</c:formatCode>
                <c:ptCount val="7"/>
                <c:pt idx="0">
                  <c:v>11</c:v>
                </c:pt>
                <c:pt idx="1">
                  <c:v>15</c:v>
                </c:pt>
                <c:pt idx="2">
                  <c:v>5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  <c:pt idx="6">
                  <c:v>20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4919952"/>
        <c:axId val="274928184"/>
      </c:lineChart>
      <c:catAx>
        <c:axId val="274950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494896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74948960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4950920"/>
        <c:crosses val="autoZero"/>
        <c:crossBetween val="between"/>
      </c:valAx>
      <c:catAx>
        <c:axId val="274919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4928184"/>
        <c:crosses val="autoZero"/>
        <c:auto val="0"/>
        <c:lblAlgn val="ctr"/>
        <c:lblOffset val="100"/>
        <c:noMultiLvlLbl val="0"/>
      </c:catAx>
      <c:valAx>
        <c:axId val="274928184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491995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803"/>
          <c:y val="0.91373801916932906"/>
          <c:w val="0.74262295081967211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2687</c:v>
                </c:pt>
                <c:pt idx="1">
                  <c:v>223</c:v>
                </c:pt>
                <c:pt idx="2">
                  <c:v>252</c:v>
                </c:pt>
                <c:pt idx="3" formatCode="0.0">
                  <c:v>592.4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2572</c:v>
                </c:pt>
                <c:pt idx="1">
                  <c:v>171</c:v>
                </c:pt>
                <c:pt idx="2">
                  <c:v>253</c:v>
                </c:pt>
                <c:pt idx="3" formatCode="0.0">
                  <c:v>243.1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4928576"/>
        <c:axId val="274921520"/>
      </c:barChart>
      <c:catAx>
        <c:axId val="274928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4921520"/>
        <c:crosses val="autoZero"/>
        <c:auto val="1"/>
        <c:lblAlgn val="ctr"/>
        <c:lblOffset val="100"/>
        <c:noMultiLvlLbl val="0"/>
      </c:catAx>
      <c:valAx>
        <c:axId val="274921520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49285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20162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131DDB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1038</c:v>
                </c:pt>
                <c:pt idx="1">
                  <c:v>109</c:v>
                </c:pt>
                <c:pt idx="2">
                  <c:v>50</c:v>
                </c:pt>
                <c:pt idx="3" formatCode="0.0">
                  <c:v>279.60000000000002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gradFill>
              <a:gsLst>
                <a:gs pos="0">
                  <a:srgbClr val="EB35D5"/>
                </a:gs>
                <a:gs pos="50000">
                  <a:srgbClr val="C0504D">
                    <a:lumMod val="20000"/>
                    <a:lumOff val="80000"/>
                  </a:srgbClr>
                </a:gs>
                <a:gs pos="100000">
                  <a:srgbClr val="EB35D5"/>
                </a:gs>
              </a:gsLst>
              <a:lin ang="0" scaled="0"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rgbClr val="EB35D5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972</c:v>
                </c:pt>
                <c:pt idx="1">
                  <c:v>125</c:v>
                </c:pt>
                <c:pt idx="2">
                  <c:v>49</c:v>
                </c:pt>
                <c:pt idx="3" formatCode="0.0">
                  <c:v>142.5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4925048"/>
        <c:axId val="274931320"/>
      </c:barChart>
      <c:catAx>
        <c:axId val="274925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4931320"/>
        <c:crosses val="autoZero"/>
        <c:auto val="1"/>
        <c:lblAlgn val="ctr"/>
        <c:lblOffset val="100"/>
        <c:noMultiLvlLbl val="0"/>
      </c:catAx>
      <c:valAx>
        <c:axId val="274931320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749250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874903854540837E-4"/>
          <c:y val="5.2014821676702176E-2"/>
          <c:w val="0.95337171222177286"/>
          <c:h val="0.807788693595963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28"/>
            <c:spPr>
              <a:gradFill flip="none" rotWithShape="1">
                <a:gsLst>
                  <a:gs pos="0">
                    <a:srgbClr val="131DDB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1414F4"/>
                  </a:gs>
                </a:gsLst>
                <a:lin ang="54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F79646">
                      <a:lumMod val="75000"/>
                    </a:srgbClr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chemeClr val="accent6">
                      <a:lumMod val="75000"/>
                    </a:schemeClr>
                  </a:gs>
                </a:gsLst>
                <a:lin ang="5400000" scaled="1"/>
                <a:tileRect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50000">
                    <a:srgbClr val="C0504D">
                      <a:lumMod val="40000"/>
                      <a:lumOff val="60000"/>
                    </a:srgb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00B0F0"/>
                  </a:gs>
                  <a:gs pos="50000">
                    <a:srgbClr val="4BACC6">
                      <a:lumMod val="20000"/>
                      <a:lumOff val="80000"/>
                    </a:srgbClr>
                  </a:gs>
                  <a:gs pos="100000">
                    <a:srgbClr val="00B0F0"/>
                  </a:gs>
                </a:gsLst>
                <a:lin ang="0" scaled="1"/>
              </a:gradFill>
            </c:spPr>
          </c:dPt>
          <c:dPt>
            <c:idx val="6"/>
            <c:bubble3D val="0"/>
            <c:spPr>
              <a:gradFill flip="none" rotWithShape="1">
                <a:gsLst>
                  <a:gs pos="0">
                    <a:srgbClr val="FF0000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FF0000"/>
                  </a:gs>
                </a:gsLst>
                <a:lin ang="5400000" scaled="1"/>
                <a:tileRect/>
              </a:gradFill>
            </c:spPr>
          </c:dPt>
          <c:dPt>
            <c:idx val="7"/>
            <c:bubble3D val="0"/>
            <c:spPr>
              <a:gradFill flip="none" rotWithShape="1"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2700000" scaled="1"/>
                <a:tileRect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9"/>
            <c:bubble3D val="0"/>
            <c:spPr>
              <a:gradFill flip="none" rotWithShape="1"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layout>
                <c:manualLayout>
                  <c:x val="-6.6159970184995753E-2"/>
                  <c:y val="8.86619405132497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347693698408543E-3"/>
                  <c:y val="-0.1084210985254750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000142731403284E-2"/>
                  <c:y val="-2.1450807021215372E-2"/>
                </c:manualLayout>
              </c:layout>
              <c:numFmt formatCode="General" sourceLinked="0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936579679805887E-2"/>
                  <c:y val="0.162926727182358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836096771891429E-2"/>
                  <c:y val="0.32550570713544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9379435576595223E-2"/>
                  <c:y val="0.213379025296256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6156706237667E-2"/>
                  <c:y val="2.54657022361368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5528387064026344"/>
                  <c:y val="-3.14089995716479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жилой сектор</c:v>
                </c:pt>
                <c:pt idx="1">
                  <c:v>общественного 
назначения</c:v>
                </c:pt>
                <c:pt idx="2">
                  <c:v>производственные</c:v>
                </c:pt>
                <c:pt idx="3">
                  <c:v>складские</c:v>
                </c:pt>
                <c:pt idx="4">
                  <c:v>с/х объекты</c:v>
                </c:pt>
                <c:pt idx="5">
                  <c:v>строящиеся</c:v>
                </c:pt>
                <c:pt idx="6">
                  <c:v>транспорт</c:v>
                </c:pt>
                <c:pt idx="7">
                  <c:v>прочие</c:v>
                </c:pt>
                <c:pt idx="8">
                  <c:v>сооружения, 
установки</c:v>
                </c:pt>
                <c:pt idx="9">
                  <c:v>открытые 
территории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2599</c:v>
                </c:pt>
                <c:pt idx="1">
                  <c:v>130</c:v>
                </c:pt>
                <c:pt idx="2">
                  <c:v>46</c:v>
                </c:pt>
                <c:pt idx="3">
                  <c:v>36</c:v>
                </c:pt>
                <c:pt idx="4">
                  <c:v>1</c:v>
                </c:pt>
                <c:pt idx="5">
                  <c:v>17</c:v>
                </c:pt>
                <c:pt idx="6">
                  <c:v>599</c:v>
                </c:pt>
                <c:pt idx="7">
                  <c:v>68</c:v>
                </c:pt>
                <c:pt idx="8">
                  <c:v>9</c:v>
                </c:pt>
                <c:pt idx="9">
                  <c:v>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674057613963885E-2"/>
          <c:y val="0.10694166888791234"/>
          <c:w val="0.80447176464905079"/>
          <c:h val="0.68319974641779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bubble3D val="0"/>
            <c:spPr>
              <a:gradFill>
                <a:gsLst>
                  <a:gs pos="0">
                    <a:srgbClr val="1414F4"/>
                  </a:gs>
                  <a:gs pos="50000">
                    <a:srgbClr val="1F497D">
                      <a:lumMod val="20000"/>
                      <a:lumOff val="80000"/>
                    </a:srgbClr>
                  </a:gs>
                  <a:gs pos="100000">
                    <a:srgbClr val="1414F4"/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4023BB"/>
                  </a:gs>
                  <a:gs pos="50000">
                    <a:schemeClr val="accent4">
                      <a:lumMod val="40000"/>
                      <a:lumOff val="60000"/>
                    </a:schemeClr>
                  </a:gs>
                  <a:gs pos="100000">
                    <a:srgbClr val="4023BB"/>
                  </a:gs>
                </a:gsLst>
                <a:lin ang="5400000" scaled="1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34BAF6"/>
                  </a:gs>
                  <a:gs pos="50000">
                    <a:srgbClr val="4BACC6">
                      <a:lumMod val="40000"/>
                      <a:lumOff val="60000"/>
                    </a:srgbClr>
                  </a:gs>
                  <a:gs pos="100000">
                    <a:srgbClr val="34BAF6"/>
                  </a:gs>
                </a:gsLst>
                <a:lin ang="540000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EE4A00"/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rgbClr val="EE4A00"/>
                  </a:gs>
                </a:gsLst>
                <a:lin ang="5400000" scaled="1"/>
              </a:gradFill>
            </c:spPr>
          </c:dPt>
          <c:dPt>
            <c:idx val="6"/>
            <c:bubble3D val="0"/>
            <c:spPr>
              <a:gradFill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0"/>
              </a:gradFill>
            </c:spPr>
          </c:dPt>
          <c:dPt>
            <c:idx val="7"/>
            <c:bubble3D val="0"/>
            <c:spPr>
              <a:gradFill>
                <a:gsLst>
                  <a:gs pos="0">
                    <a:srgbClr val="EEECE1">
                      <a:lumMod val="50000"/>
                    </a:srgbClr>
                  </a:gs>
                  <a:gs pos="50000">
                    <a:srgbClr val="EEECE1">
                      <a:lumMod val="90000"/>
                    </a:srgbClr>
                  </a:gs>
                  <a:gs pos="100000">
                    <a:schemeClr val="bg2">
                      <a:lumMod val="25000"/>
                    </a:schemeClr>
                  </a:gs>
                </a:gsLst>
                <a:lin ang="0" scaled="0"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0" scaled="0"/>
              </a:gradFill>
            </c:spPr>
          </c:dPt>
          <c:dPt>
            <c:idx val="9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0"/>
              </a:gradFill>
            </c:spPr>
          </c:dPt>
          <c:dLbls>
            <c:dLbl>
              <c:idx val="0"/>
              <c:layout>
                <c:manualLayout>
                  <c:x val="-2.8371415229538025E-2"/>
                  <c:y val="6.746704738830723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105534354217993"/>
                  <c:y val="0.103479853479853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520135903257495E-2"/>
                  <c:y val="-4.050330247180641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726583256847497E-2"/>
                  <c:y val="1.3439762337400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5257717018501523E-3"/>
                  <c:y val="6.45424129676098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788512632239986E-2"/>
                  <c:y val="6.30379856364108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331948537107705E-2"/>
                  <c:y val="9.196446598021401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НОСО</c:v>
                </c:pt>
                <c:pt idx="1">
                  <c:v>электро оборудование</c:v>
                </c:pt>
                <c:pt idx="2">
                  <c:v>печное отопление</c:v>
                </c:pt>
                <c:pt idx="3">
                  <c:v>НПУиЭ транспорта</c:v>
                </c:pt>
                <c:pt idx="4">
                  <c:v>поджоги</c:v>
                </c:pt>
                <c:pt idx="5">
                  <c:v>прочие</c:v>
                </c:pt>
                <c:pt idx="6">
                  <c:v>нарушение технологии </c:v>
                </c:pt>
                <c:pt idx="7">
                  <c:v>не установлено</c:v>
                </c:pt>
                <c:pt idx="8">
                  <c:v>теплогенерир-ие установки</c:v>
                </c:pt>
                <c:pt idx="9">
                  <c:v>сварочные и огневые работы</c:v>
                </c:pt>
                <c:pt idx="10">
                  <c:v>НПУиЭ газового оборудования 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779</c:v>
                </c:pt>
                <c:pt idx="1">
                  <c:v>1075</c:v>
                </c:pt>
                <c:pt idx="2">
                  <c:v>513</c:v>
                </c:pt>
                <c:pt idx="3">
                  <c:v>253</c:v>
                </c:pt>
                <c:pt idx="4">
                  <c:v>689</c:v>
                </c:pt>
                <c:pt idx="5">
                  <c:v>66</c:v>
                </c:pt>
                <c:pt idx="6">
                  <c:v>22</c:v>
                </c:pt>
                <c:pt idx="7">
                  <c:v>98</c:v>
                </c:pt>
                <c:pt idx="8">
                  <c:v>12</c:v>
                </c:pt>
                <c:pt idx="9">
                  <c:v>26</c:v>
                </c:pt>
                <c:pt idx="10" formatCode="General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26058631921824E-2"/>
          <c:y val="7.1895424836601302E-2"/>
          <c:w val="0.92508143322475567"/>
          <c:h val="0.6699346405228757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(2)'!$B$90</c:f>
              <c:strCache>
                <c:ptCount val="1"/>
                <c:pt idx="0">
                  <c:v>Погибло всего, чел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808000" mc:Ignorable="a14" a14:legacySpreadsheetColorIndex="19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19">
                    <a:gamma/>
                    <a:tint val="45882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808000" mc:Ignorable="a14" a14:legacySpreadsheetColorIndex="19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(2)'!$B$91:$B$102</c:f>
              <c:numCache>
                <c:formatCode>General</c:formatCode>
                <c:ptCount val="12"/>
                <c:pt idx="0">
                  <c:v>46</c:v>
                </c:pt>
                <c:pt idx="1">
                  <c:v>47</c:v>
                </c:pt>
                <c:pt idx="2">
                  <c:v>41</c:v>
                </c:pt>
                <c:pt idx="3">
                  <c:v>20</c:v>
                </c:pt>
                <c:pt idx="4">
                  <c:v>16</c:v>
                </c:pt>
                <c:pt idx="5">
                  <c:v>14</c:v>
                </c:pt>
                <c:pt idx="6">
                  <c:v>18</c:v>
                </c:pt>
                <c:pt idx="7">
                  <c:v>12</c:v>
                </c:pt>
                <c:pt idx="8">
                  <c:v>18</c:v>
                </c:pt>
                <c:pt idx="9">
                  <c:v>14</c:v>
                </c:pt>
                <c:pt idx="10">
                  <c:v>24</c:v>
                </c:pt>
                <c:pt idx="11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74923088"/>
        <c:axId val="274928968"/>
      </c:barChart>
      <c:lineChart>
        <c:grouping val="standard"/>
        <c:varyColors val="0"/>
        <c:ser>
          <c:idx val="0"/>
          <c:order val="1"/>
          <c:tx>
            <c:strRef>
              <c:f>'для Word (2)'!$C$90</c:f>
              <c:strCache>
                <c:ptCount val="1"/>
                <c:pt idx="0">
                  <c:v>В состоянии алкогольного опьянения,чел</c:v>
                </c:pt>
              </c:strCache>
            </c:strRef>
          </c:tx>
          <c:spPr>
            <a:ln w="38099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marker>
          <c:dLbls>
            <c:dLbl>
              <c:idx val="0"/>
              <c:layout>
                <c:manualLayout>
                  <c:x val="-2.2648532868244892E-2"/>
                  <c:y val="-9.239262069158704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6273684030538E-2"/>
                  <c:y val="-9.239262069158704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73426980259391E-2"/>
                  <c:y val="-1.3160680864259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505151299084362E-2"/>
                  <c:y val="-7.931955266574530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419355271144795E-2"/>
                  <c:y val="-1.47947915669142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590888233433353E-2"/>
                  <c:y val="-7.605066678653349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391085690835919E-2"/>
                  <c:y val="-8.912288793387013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8305289662896462E-2"/>
                  <c:y val="-9.56606596922959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105487120298917E-2"/>
                  <c:y val="-1.15268177107050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1019691092359349E-2"/>
                  <c:y val="-2.376341080968735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5625595595339E-2"/>
                  <c:y val="-3.356759295631617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2105428026708451E-2"/>
                  <c:y val="-3.356759295631617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C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(2)'!$A$91:$A$102</c:f>
              <c:strCache>
                <c:ptCount val="12"/>
                <c:pt idx="0">
                  <c:v>0.00-2.00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</c:strCache>
            </c:strRef>
          </c:cat>
          <c:val>
            <c:numRef>
              <c:f>'для Word (2)'!$C$91:$C$102</c:f>
              <c:numCache>
                <c:formatCode>General</c:formatCode>
                <c:ptCount val="12"/>
                <c:pt idx="0">
                  <c:v>13</c:v>
                </c:pt>
                <c:pt idx="1">
                  <c:v>13</c:v>
                </c:pt>
                <c:pt idx="2">
                  <c:v>11</c:v>
                </c:pt>
                <c:pt idx="3">
                  <c:v>7</c:v>
                </c:pt>
                <c:pt idx="4">
                  <c:v>6</c:v>
                </c:pt>
                <c:pt idx="5">
                  <c:v>8</c:v>
                </c:pt>
                <c:pt idx="6">
                  <c:v>4</c:v>
                </c:pt>
                <c:pt idx="7">
                  <c:v>2</c:v>
                </c:pt>
                <c:pt idx="8">
                  <c:v>6</c:v>
                </c:pt>
                <c:pt idx="9">
                  <c:v>4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4927792"/>
        <c:axId val="274923480"/>
      </c:lineChart>
      <c:catAx>
        <c:axId val="2749230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49289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7492896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74923088"/>
        <c:crosses val="autoZero"/>
        <c:crossBetween val="between"/>
      </c:valAx>
      <c:catAx>
        <c:axId val="2749277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4923480"/>
        <c:crosses val="autoZero"/>
        <c:auto val="0"/>
        <c:lblAlgn val="ctr"/>
        <c:lblOffset val="100"/>
        <c:noMultiLvlLbl val="0"/>
      </c:catAx>
      <c:valAx>
        <c:axId val="2749234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492779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612377850162866"/>
          <c:y val="0.91176470588235292"/>
          <c:w val="0.70846905537459282"/>
          <c:h val="7.843137254901960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794212218649519"/>
          <c:y val="3.4375000000000003E-2"/>
          <c:w val="0.65434083601286175"/>
          <c:h val="0.8531250000000000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'для Word (2)'!$B$134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24">
                    <a:gamma/>
                    <a:tint val="25098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(2)'!$B$135:$B$141</c:f>
              <c:numCache>
                <c:formatCode>General</c:formatCode>
                <c:ptCount val="7"/>
                <c:pt idx="0">
                  <c:v>228</c:v>
                </c:pt>
                <c:pt idx="1">
                  <c:v>52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51</c:v>
                </c:pt>
              </c:numCache>
            </c:numRef>
          </c:val>
        </c:ser>
        <c:ser>
          <c:idx val="1"/>
          <c:order val="1"/>
          <c:tx>
            <c:strRef>
              <c:f>'для Word (2)'!$C$134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0000" mc:Ignorable="a14" a14:legacySpreadsheetColorIndex="10"/>
                </a:gs>
                <a:gs pos="50000">
                  <a:srgbClr xmlns:mc="http://schemas.openxmlformats.org/markup-compatibility/2006" xmlns:a14="http://schemas.microsoft.com/office/drawing/2010/main" val="FFFFFF" mc:Ignorable="a14" a14:legacySpreadsheetColorIndex="10">
                    <a:gamma/>
                    <a:tint val="2745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FF0000" mc:Ignorable="a14" a14:legacySpreadsheetColorIndex="10"/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(2)'!$A$135:$A$141</c:f>
              <c:strCache>
                <c:ptCount val="7"/>
                <c:pt idx="0">
                  <c:v>Отравление продуктами горения</c:v>
                </c:pt>
                <c:pt idx="1">
                  <c:v>Воздействие высокой температуры</c:v>
                </c:pt>
                <c:pt idx="2">
                  <c:v>Недостаток кислорода</c:v>
                </c:pt>
                <c:pt idx="3">
                  <c:v>Обрушение конструкций</c:v>
                </c:pt>
                <c:pt idx="4">
                  <c:v>Падение с высоты</c:v>
                </c:pt>
                <c:pt idx="5">
                  <c:v>Паника</c:v>
                </c:pt>
                <c:pt idx="6">
                  <c:v>Прочие</c:v>
                </c:pt>
              </c:strCache>
            </c:strRef>
          </c:cat>
          <c:val>
            <c:numRef>
              <c:f>'для Word (2)'!$C$135:$C$141</c:f>
              <c:numCache>
                <c:formatCode>General</c:formatCode>
                <c:ptCount val="7"/>
                <c:pt idx="0">
                  <c:v>210</c:v>
                </c:pt>
                <c:pt idx="1">
                  <c:v>47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4930536"/>
        <c:axId val="274923872"/>
      </c:barChart>
      <c:catAx>
        <c:axId val="274930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4923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4923872"/>
        <c:scaling>
          <c:orientation val="minMax"/>
        </c:scaling>
        <c:delete val="0"/>
        <c:axPos val="b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4930536"/>
        <c:crosses val="autoZero"/>
        <c:crossBetween val="between"/>
        <c:majorUnit val="50"/>
        <c:minorUnit val="1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2604501607717038"/>
          <c:y val="0.39687499999999998"/>
          <c:w val="6.7524115755627015E-2"/>
          <c:h val="0.12187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0.13378</cdr:x>
      <cdr:y>0.66117</cdr:y>
    </cdr:from>
    <cdr:to>
      <cdr:x>0.25236</cdr:x>
      <cdr:y>0.76177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8188" y="1805325"/>
          <a:ext cx="742968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-4,9%</a:t>
          </a:r>
        </a:p>
      </cdr:txBody>
    </cdr:sp>
  </cdr:relSizeAnchor>
  <cdr:relSizeAnchor xmlns:cdr="http://schemas.openxmlformats.org/drawingml/2006/chartDrawing">
    <cdr:from>
      <cdr:x>0.37914</cdr:x>
      <cdr:y>0.55405</cdr:y>
    </cdr:from>
    <cdr:to>
      <cdr:x>0.46909</cdr:x>
      <cdr:y>0.62946</cdr:y>
    </cdr:to>
    <cdr:sp macro="" textlink="">
      <cdr:nvSpPr>
        <cdr:cNvPr id="8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75509" y="1512847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0.15415</cdr:x>
      <cdr:y>0.54707</cdr:y>
    </cdr:from>
    <cdr:to>
      <cdr:x>0.2441</cdr:x>
      <cdr:y>0.62248</cdr:y>
    </cdr:to>
    <cdr:sp macro="" textlink="">
      <cdr:nvSpPr>
        <cdr:cNvPr id="1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65820" y="1493788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0.35877</cdr:x>
      <cdr:y>0.66117</cdr:y>
    </cdr:from>
    <cdr:to>
      <cdr:x>0.47735</cdr:x>
      <cdr:y>0.76178</cdr:y>
    </cdr:to>
    <cdr:sp macro="" textlink="">
      <cdr:nvSpPr>
        <cdr:cNvPr id="13" name="TextBox 3"/>
        <cdr:cNvSpPr txBox="1"/>
      </cdr:nvSpPr>
      <cdr:spPr>
        <a:xfrm xmlns:a="http://schemas.openxmlformats.org/drawingml/2006/main">
          <a:off x="2247879" y="1805325"/>
          <a:ext cx="742968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-10,8%</a:t>
          </a:r>
        </a:p>
      </cdr:txBody>
    </cdr:sp>
  </cdr:relSizeAnchor>
  <cdr:relSizeAnchor xmlns:cdr="http://schemas.openxmlformats.org/drawingml/2006/chartDrawing">
    <cdr:from>
      <cdr:x>0.57616</cdr:x>
      <cdr:y>0.65768</cdr:y>
    </cdr:from>
    <cdr:to>
      <cdr:x>0.71014</cdr:x>
      <cdr:y>0.75829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3609975" y="1795800"/>
          <a:ext cx="839470" cy="27471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стабильно</a:t>
          </a:r>
        </a:p>
      </cdr:txBody>
    </cdr:sp>
  </cdr:relSizeAnchor>
  <cdr:relSizeAnchor xmlns:cdr="http://schemas.openxmlformats.org/drawingml/2006/chartDrawing">
    <cdr:from>
      <cdr:x>0.80724</cdr:x>
      <cdr:y>0.66117</cdr:y>
    </cdr:from>
    <cdr:to>
      <cdr:x>0.92429</cdr:x>
      <cdr:y>0.76177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5057775" y="1805329"/>
          <a:ext cx="733425" cy="27468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-55,8%</a:t>
          </a:r>
        </a:p>
      </cdr:txBody>
    </cdr:sp>
  </cdr:relSizeAnchor>
  <cdr:relSizeAnchor xmlns:cdr="http://schemas.openxmlformats.org/drawingml/2006/chartDrawing">
    <cdr:from>
      <cdr:x>0.82608</cdr:x>
      <cdr:y>0.55057</cdr:y>
    </cdr:from>
    <cdr:to>
      <cdr:x>0.91603</cdr:x>
      <cdr:y>0.62597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836" y="1503322"/>
          <a:ext cx="563586" cy="205880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0.09871</cdr:x>
      <cdr:y>0.56727</cdr:y>
    </cdr:from>
    <cdr:to>
      <cdr:x>0.13966</cdr:x>
      <cdr:y>0.61936</cdr:y>
    </cdr:to>
    <cdr:sp macro="" textlink="">
      <cdr:nvSpPr>
        <cdr:cNvPr id="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2922" y="1508595"/>
          <a:ext cx="258421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0.08127</cdr:x>
      <cdr:y>0.64764</cdr:y>
    </cdr:from>
    <cdr:to>
      <cdr:x>0.14632</cdr:x>
      <cdr:y>0.7145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12869" y="1722330"/>
          <a:ext cx="410506" cy="17780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700">
              <a:latin typeface="Times New Roman" pitchFamily="18" charset="0"/>
              <a:cs typeface="Times New Roman" pitchFamily="18" charset="0"/>
            </a:rPr>
            <a:t>-</a:t>
          </a:r>
          <a:r>
            <a:rPr lang="ru-RU" sz="700">
              <a:latin typeface="Times New Roman" pitchFamily="18" charset="0"/>
              <a:cs typeface="Times New Roman" pitchFamily="18" charset="0"/>
            </a:rPr>
            <a:t>2</a:t>
          </a:r>
          <a:r>
            <a:rPr lang="en-US" sz="700">
              <a:latin typeface="Times New Roman" pitchFamily="18" charset="0"/>
              <a:cs typeface="Times New Roman" pitchFamily="18" charset="0"/>
            </a:rPr>
            <a:t>,</a:t>
          </a:r>
          <a:r>
            <a:rPr lang="ru-RU" sz="700">
              <a:latin typeface="Times New Roman" pitchFamily="18" charset="0"/>
              <a:cs typeface="Times New Roman" pitchFamily="18" charset="0"/>
            </a:rPr>
            <a:t>7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0.17569</cdr:x>
      <cdr:y>0.56727</cdr:y>
    </cdr:from>
    <cdr:to>
      <cdr:x>0.21664</cdr:x>
      <cdr:y>0.61936</cdr:y>
    </cdr:to>
    <cdr:sp macro="" textlink="">
      <cdr:nvSpPr>
        <cdr:cNvPr id="4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08697" y="1508586"/>
          <a:ext cx="258421" cy="13852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0.15976</cdr:x>
      <cdr:y>0.64764</cdr:y>
    </cdr:from>
    <cdr:to>
      <cdr:x>0.23697</cdr:x>
      <cdr:y>0.71633</cdr:y>
    </cdr:to>
    <cdr:sp macro="" textlink="">
      <cdr:nvSpPr>
        <cdr:cNvPr id="5" name="TextBox 8"/>
        <cdr:cNvSpPr txBox="1"/>
      </cdr:nvSpPr>
      <cdr:spPr>
        <a:xfrm xmlns:a="http://schemas.openxmlformats.org/drawingml/2006/main">
          <a:off x="1008182" y="1722325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700">
              <a:latin typeface="Times New Roman" pitchFamily="18" charset="0"/>
              <a:cs typeface="Times New Roman" pitchFamily="18" charset="0"/>
            </a:rPr>
            <a:t>-</a:t>
          </a:r>
          <a:r>
            <a:rPr lang="ru-RU" sz="700">
              <a:latin typeface="Times New Roman" pitchFamily="18" charset="0"/>
              <a:cs typeface="Times New Roman" pitchFamily="18" charset="0"/>
            </a:rPr>
            <a:t>16,8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0.23221</cdr:x>
      <cdr:y>0.64764</cdr:y>
    </cdr:from>
    <cdr:to>
      <cdr:x>0.30942</cdr:x>
      <cdr:y>0.71633</cdr:y>
    </cdr:to>
    <cdr:sp macro="" textlink="">
      <cdr:nvSpPr>
        <cdr:cNvPr id="6" name="TextBox 8"/>
        <cdr:cNvSpPr txBox="1"/>
      </cdr:nvSpPr>
      <cdr:spPr>
        <a:xfrm xmlns:a="http://schemas.openxmlformats.org/drawingml/2006/main">
          <a:off x="1465382" y="1722325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+11,0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0.31372</cdr:x>
      <cdr:y>0.64764</cdr:y>
    </cdr:from>
    <cdr:to>
      <cdr:x>0.39093</cdr:x>
      <cdr:y>0.71633</cdr:y>
    </cdr:to>
    <cdr:sp macro="" textlink="">
      <cdr:nvSpPr>
        <cdr:cNvPr id="7" name="TextBox 8"/>
        <cdr:cNvSpPr txBox="1"/>
      </cdr:nvSpPr>
      <cdr:spPr>
        <a:xfrm xmlns:a="http://schemas.openxmlformats.org/drawingml/2006/main">
          <a:off x="1979741" y="1722321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-6,8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0.32663</cdr:x>
      <cdr:y>0.57085</cdr:y>
    </cdr:from>
    <cdr:to>
      <cdr:x>0.36758</cdr:x>
      <cdr:y>0.62294</cdr:y>
    </cdr:to>
    <cdr:sp macro="" textlink="">
      <cdr:nvSpPr>
        <cdr:cNvPr id="8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61215" y="1518111"/>
          <a:ext cx="258420" cy="13852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0.4021</cdr:x>
      <cdr:y>0.57443</cdr:y>
    </cdr:from>
    <cdr:to>
      <cdr:x>0.44305</cdr:x>
      <cdr:y>0.62652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37491" y="1527632"/>
          <a:ext cx="258420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0.38466</cdr:x>
      <cdr:y>0.64764</cdr:y>
    </cdr:from>
    <cdr:to>
      <cdr:x>0.46187</cdr:x>
      <cdr:y>0.71633</cdr:y>
    </cdr:to>
    <cdr:sp macro="" textlink="">
      <cdr:nvSpPr>
        <cdr:cNvPr id="11" name="TextBox 8"/>
        <cdr:cNvSpPr txBox="1"/>
      </cdr:nvSpPr>
      <cdr:spPr>
        <a:xfrm xmlns:a="http://schemas.openxmlformats.org/drawingml/2006/main">
          <a:off x="2427446" y="1722321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-8,4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0.47757</cdr:x>
      <cdr:y>0.57443</cdr:y>
    </cdr:from>
    <cdr:to>
      <cdr:x>0.51852</cdr:x>
      <cdr:y>0.62652</cdr:y>
    </cdr:to>
    <cdr:sp macro="" textlink="">
      <cdr:nvSpPr>
        <cdr:cNvPr id="1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13754" y="1527628"/>
          <a:ext cx="258421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0.45711</cdr:x>
      <cdr:y>0.65122</cdr:y>
    </cdr:from>
    <cdr:to>
      <cdr:x>0.53432</cdr:x>
      <cdr:y>0.71991</cdr:y>
    </cdr:to>
    <cdr:sp macro="" textlink="">
      <cdr:nvSpPr>
        <cdr:cNvPr id="13" name="TextBox 8"/>
        <cdr:cNvSpPr txBox="1"/>
      </cdr:nvSpPr>
      <cdr:spPr>
        <a:xfrm xmlns:a="http://schemas.openxmlformats.org/drawingml/2006/main">
          <a:off x="2884647" y="1731846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-14,6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0.53409</cdr:x>
      <cdr:y>0.64764</cdr:y>
    </cdr:from>
    <cdr:to>
      <cdr:x>0.6113</cdr:x>
      <cdr:y>0.71633</cdr:y>
    </cdr:to>
    <cdr:sp macro="" textlink="">
      <cdr:nvSpPr>
        <cdr:cNvPr id="14" name="TextBox 8"/>
        <cdr:cNvSpPr txBox="1"/>
      </cdr:nvSpPr>
      <cdr:spPr>
        <a:xfrm xmlns:a="http://schemas.openxmlformats.org/drawingml/2006/main">
          <a:off x="3370427" y="1722316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-4,9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0.60956</cdr:x>
      <cdr:y>0.64764</cdr:y>
    </cdr:from>
    <cdr:to>
      <cdr:x>0.67921</cdr:x>
      <cdr:y>0.71991</cdr:y>
    </cdr:to>
    <cdr:sp macro="" textlink="">
      <cdr:nvSpPr>
        <cdr:cNvPr id="15" name="TextBox 8"/>
        <cdr:cNvSpPr txBox="1"/>
      </cdr:nvSpPr>
      <cdr:spPr>
        <a:xfrm xmlns:a="http://schemas.openxmlformats.org/drawingml/2006/main">
          <a:off x="3846677" y="1722316"/>
          <a:ext cx="439573" cy="19220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+2,0%</a:t>
          </a:r>
        </a:p>
      </cdr:txBody>
    </cdr:sp>
  </cdr:relSizeAnchor>
  <cdr:relSizeAnchor xmlns:cdr="http://schemas.openxmlformats.org/drawingml/2006/chartDrawing">
    <cdr:from>
      <cdr:x>0.55225</cdr:x>
      <cdr:y>0.5709</cdr:y>
    </cdr:from>
    <cdr:to>
      <cdr:x>0.5932</cdr:x>
      <cdr:y>0.62299</cdr:y>
    </cdr:to>
    <cdr:sp macro="" textlink="">
      <cdr:nvSpPr>
        <cdr:cNvPr id="1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85072" y="1518249"/>
          <a:ext cx="258420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0.67802</cdr:x>
      <cdr:y>0.64764</cdr:y>
    </cdr:from>
    <cdr:to>
      <cdr:x>0.75576</cdr:x>
      <cdr:y>0.7266</cdr:y>
    </cdr:to>
    <cdr:sp macro="" textlink="">
      <cdr:nvSpPr>
        <cdr:cNvPr id="17" name="TextBox 8"/>
        <cdr:cNvSpPr txBox="1"/>
      </cdr:nvSpPr>
      <cdr:spPr>
        <a:xfrm xmlns:a="http://schemas.openxmlformats.org/drawingml/2006/main">
          <a:off x="4278702" y="1722321"/>
          <a:ext cx="490621" cy="20999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+18,3%</a:t>
          </a:r>
        </a:p>
      </cdr:txBody>
    </cdr:sp>
  </cdr:relSizeAnchor>
  <cdr:relSizeAnchor xmlns:cdr="http://schemas.openxmlformats.org/drawingml/2006/chartDrawing">
    <cdr:from>
      <cdr:x>0.7573</cdr:x>
      <cdr:y>0.64764</cdr:y>
    </cdr:from>
    <cdr:to>
      <cdr:x>0.83504</cdr:x>
      <cdr:y>0.7266</cdr:y>
    </cdr:to>
    <cdr:sp macro="" textlink="">
      <cdr:nvSpPr>
        <cdr:cNvPr id="18" name="TextBox 8"/>
        <cdr:cNvSpPr txBox="1"/>
      </cdr:nvSpPr>
      <cdr:spPr>
        <a:xfrm xmlns:a="http://schemas.openxmlformats.org/drawingml/2006/main">
          <a:off x="4779066" y="1722321"/>
          <a:ext cx="490589" cy="20998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+4,1%</a:t>
          </a:r>
        </a:p>
      </cdr:txBody>
    </cdr:sp>
  </cdr:relSizeAnchor>
  <cdr:relSizeAnchor xmlns:cdr="http://schemas.openxmlformats.org/drawingml/2006/chartDrawing">
    <cdr:from>
      <cdr:x>0.85162</cdr:x>
      <cdr:y>0.5709</cdr:y>
    </cdr:from>
    <cdr:to>
      <cdr:x>0.89257</cdr:x>
      <cdr:y>0.62299</cdr:y>
    </cdr:to>
    <cdr:sp macro="" textlink="">
      <cdr:nvSpPr>
        <cdr:cNvPr id="1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374256" y="1518249"/>
          <a:ext cx="258420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0.83482</cdr:x>
      <cdr:y>0.65088</cdr:y>
    </cdr:from>
    <cdr:to>
      <cdr:x>0.91203</cdr:x>
      <cdr:y>0.71957</cdr:y>
    </cdr:to>
    <cdr:sp macro="" textlink="">
      <cdr:nvSpPr>
        <cdr:cNvPr id="20" name="TextBox 8"/>
        <cdr:cNvSpPr txBox="1"/>
      </cdr:nvSpPr>
      <cdr:spPr>
        <a:xfrm xmlns:a="http://schemas.openxmlformats.org/drawingml/2006/main">
          <a:off x="5268256" y="1730948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-23,3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0.90992</cdr:x>
      <cdr:y>0.6548</cdr:y>
    </cdr:from>
    <cdr:to>
      <cdr:x>0.98713</cdr:x>
      <cdr:y>0.72349</cdr:y>
    </cdr:to>
    <cdr:sp macro="" textlink="">
      <cdr:nvSpPr>
        <cdr:cNvPr id="21" name="TextBox 8"/>
        <cdr:cNvSpPr txBox="1"/>
      </cdr:nvSpPr>
      <cdr:spPr>
        <a:xfrm xmlns:a="http://schemas.openxmlformats.org/drawingml/2006/main">
          <a:off x="5742169" y="1741371"/>
          <a:ext cx="487244" cy="18267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700">
              <a:latin typeface="Times New Roman" pitchFamily="18" charset="0"/>
              <a:cs typeface="Times New Roman" pitchFamily="18" charset="0"/>
            </a:rPr>
            <a:t>-4,4</a:t>
          </a:r>
          <a:r>
            <a:rPr lang="en-US" sz="700">
              <a:latin typeface="Times New Roman" pitchFamily="18" charset="0"/>
              <a:cs typeface="Times New Roman" pitchFamily="18" charset="0"/>
            </a:rPr>
            <a:t>%</a:t>
          </a:r>
          <a:endParaRPr lang="ru-RU" sz="7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0.92709</cdr:x>
      <cdr:y>0.57685</cdr:y>
    </cdr:from>
    <cdr:to>
      <cdr:x>0.96804</cdr:x>
      <cdr:y>0.62894</cdr:y>
    </cdr:to>
    <cdr:sp macro="" textlink="">
      <cdr:nvSpPr>
        <cdr:cNvPr id="22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50509" y="1534065"/>
          <a:ext cx="258420" cy="13852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0.13166</cdr:x>
      <cdr:y>0.65061</cdr:y>
    </cdr:from>
    <cdr:to>
      <cdr:x>0.24158</cdr:x>
      <cdr:y>0.75121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24913" y="1776087"/>
          <a:ext cx="688709" cy="274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>
              <a:latin typeface="Times New Roman" pitchFamily="18" charset="0"/>
              <a:cs typeface="Times New Roman" pitchFamily="18" charset="0"/>
            </a:rPr>
            <a:t>-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4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0.35963</cdr:x>
      <cdr:y>0.64816</cdr:y>
    </cdr:from>
    <cdr:to>
      <cdr:x>0.46955</cdr:x>
      <cdr:y>0.74877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53275" y="1769401"/>
          <a:ext cx="688709" cy="274652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-23,3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0.5856</cdr:x>
      <cdr:y>0.64521</cdr:y>
    </cdr:from>
    <cdr:to>
      <cdr:x>0.69552</cdr:x>
      <cdr:y>0.74581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669103" y="1761343"/>
          <a:ext cx="688709" cy="27462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+0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4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0.14442</cdr:x>
      <cdr:y>0.52344</cdr:y>
    </cdr:from>
    <cdr:to>
      <cdr:x>0.23437</cdr:x>
      <cdr:y>0.59885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4863" y="1428910"/>
          <a:ext cx="563586" cy="20585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0.37093</cdr:x>
      <cdr:y>0.53739</cdr:y>
    </cdr:from>
    <cdr:to>
      <cdr:x>0.46088</cdr:x>
      <cdr:y>0.6128</cdr:y>
    </cdr:to>
    <cdr:sp macro="" textlink="">
      <cdr:nvSpPr>
        <cdr:cNvPr id="1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4088" y="1467010"/>
          <a:ext cx="563586" cy="20585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0.82606</cdr:x>
      <cdr:y>0.5399</cdr:y>
    </cdr:from>
    <cdr:to>
      <cdr:x>0.91601</cdr:x>
      <cdr:y>0.6153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5735" y="1473850"/>
          <a:ext cx="563586" cy="205831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0.81363</cdr:x>
      <cdr:y>0.64521</cdr:y>
    </cdr:from>
    <cdr:to>
      <cdr:x>0.92355</cdr:x>
      <cdr:y>0.74581</cdr:y>
    </cdr:to>
    <cdr:sp macro="" textlink="">
      <cdr:nvSpPr>
        <cdr:cNvPr id="14" name="TextBox 5"/>
        <cdr:cNvSpPr txBox="1"/>
      </cdr:nvSpPr>
      <cdr:spPr>
        <a:xfrm xmlns:a="http://schemas.openxmlformats.org/drawingml/2006/main">
          <a:off x="5097853" y="1761336"/>
          <a:ext cx="688709" cy="2746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-59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0.82273</cdr:x>
      <cdr:y>0.57711</cdr:y>
    </cdr:from>
    <cdr:to>
      <cdr:x>0.91226</cdr:x>
      <cdr:y>0.6482</cdr:y>
    </cdr:to>
    <cdr:sp macro="" textlink="">
      <cdr:nvSpPr>
        <cdr:cNvPr id="9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78913" y="1671087"/>
          <a:ext cx="563570" cy="205849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0.35885</cdr:x>
      <cdr:y>0.57033</cdr:y>
    </cdr:from>
    <cdr:to>
      <cdr:x>0.44838</cdr:x>
      <cdr:y>0.64143</cdr:y>
    </cdr:to>
    <cdr:sp macro="" textlink="">
      <cdr:nvSpPr>
        <cdr:cNvPr id="13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>
          <a:off x="2258896" y="1651460"/>
          <a:ext cx="563569" cy="205877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00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0.1403</cdr:x>
      <cdr:y>0.57382</cdr:y>
    </cdr:from>
    <cdr:to>
      <cdr:x>0.22983</cdr:x>
      <cdr:y>0.64491</cdr:y>
    </cdr:to>
    <cdr:sp macro="" textlink="">
      <cdr:nvSpPr>
        <cdr:cNvPr id="10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83145" y="1661559"/>
          <a:ext cx="563569" cy="20584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  <cdr:relSizeAnchor xmlns:cdr="http://schemas.openxmlformats.org/drawingml/2006/chartDrawing">
    <cdr:from>
      <cdr:x>0.1271</cdr:x>
      <cdr:y>0.66458</cdr:y>
    </cdr:from>
    <cdr:to>
      <cdr:x>0.23702</cdr:x>
      <cdr:y>0.76518</cdr:y>
    </cdr:to>
    <cdr:sp macro="" textlink="">
      <cdr:nvSpPr>
        <cdr:cNvPr id="12" name="TextBox 3"/>
        <cdr:cNvSpPr txBox="1"/>
      </cdr:nvSpPr>
      <cdr:spPr>
        <a:xfrm xmlns:a="http://schemas.openxmlformats.org/drawingml/2006/main">
          <a:off x="800037" y="1924353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-6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4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0.35407</cdr:x>
      <cdr:y>0.66787</cdr:y>
    </cdr:from>
    <cdr:to>
      <cdr:x>0.46399</cdr:x>
      <cdr:y>0.76847</cdr:y>
    </cdr:to>
    <cdr:sp macro="" textlink="">
      <cdr:nvSpPr>
        <cdr:cNvPr id="11" name="TextBox 3"/>
        <cdr:cNvSpPr txBox="1"/>
      </cdr:nvSpPr>
      <cdr:spPr>
        <a:xfrm xmlns:a="http://schemas.openxmlformats.org/drawingml/2006/main">
          <a:off x="2228787" y="1933878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+14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7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0.58256</cdr:x>
      <cdr:y>0.66787</cdr:y>
    </cdr:from>
    <cdr:to>
      <cdr:x>0.69248</cdr:x>
      <cdr:y>0.76847</cdr:y>
    </cdr:to>
    <cdr:sp macro="" textlink="">
      <cdr:nvSpPr>
        <cdr:cNvPr id="15" name="TextBox 3"/>
        <cdr:cNvSpPr txBox="1"/>
      </cdr:nvSpPr>
      <cdr:spPr>
        <a:xfrm xmlns:a="http://schemas.openxmlformats.org/drawingml/2006/main">
          <a:off x="3667062" y="1933878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-2,0%</a:t>
          </a:r>
        </a:p>
      </cdr:txBody>
    </cdr:sp>
  </cdr:relSizeAnchor>
  <cdr:relSizeAnchor xmlns:cdr="http://schemas.openxmlformats.org/drawingml/2006/chartDrawing">
    <cdr:from>
      <cdr:x>0.81256</cdr:x>
      <cdr:y>0.67116</cdr:y>
    </cdr:from>
    <cdr:to>
      <cdr:x>0.92248</cdr:x>
      <cdr:y>0.77176</cdr:y>
    </cdr:to>
    <cdr:sp macro="" textlink="">
      <cdr:nvSpPr>
        <cdr:cNvPr id="14" name="TextBox 3"/>
        <cdr:cNvSpPr txBox="1"/>
      </cdr:nvSpPr>
      <cdr:spPr>
        <a:xfrm xmlns:a="http://schemas.openxmlformats.org/drawingml/2006/main">
          <a:off x="5114872" y="1943409"/>
          <a:ext cx="691920" cy="291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-49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,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0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%</a:t>
          </a:r>
          <a:endParaRPr lang="ru-RU" sz="12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0.60073</cdr:x>
      <cdr:y>0.57382</cdr:y>
    </cdr:from>
    <cdr:to>
      <cdr:x>0.69026</cdr:x>
      <cdr:y>0.64491</cdr:y>
    </cdr:to>
    <cdr:sp macro="" textlink="">
      <cdr:nvSpPr>
        <cdr:cNvPr id="16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81425" y="1661555"/>
          <a:ext cx="563569" cy="205848"/>
        </a:xfrm>
        <a:prstGeom xmlns:a="http://schemas.openxmlformats.org/drawingml/2006/main" prst="curvedDownArrow">
          <a:avLst>
            <a:gd name="adj1" fmla="val 63791"/>
            <a:gd name="adj2" fmla="val 127581"/>
            <a:gd name="adj3" fmla="val 33333"/>
          </a:avLst>
        </a:prstGeom>
        <a:solidFill xmlns:a="http://schemas.openxmlformats.org/drawingml/2006/main">
          <a:srgbClr val="FFFF00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Analiz_CO_gubernator_.dot</Template>
  <TotalTime>53</TotalTime>
  <Pages>8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admin</dc:creator>
  <cp:keywords/>
  <dc:description/>
  <cp:lastModifiedBy>user</cp:lastModifiedBy>
  <cp:revision>5</cp:revision>
  <cp:lastPrinted>2011-05-18T05:05:00Z</cp:lastPrinted>
  <dcterms:created xsi:type="dcterms:W3CDTF">2018-01-09T10:56:00Z</dcterms:created>
  <dcterms:modified xsi:type="dcterms:W3CDTF">2018-01-09T12:04:00Z</dcterms:modified>
</cp:coreProperties>
</file>