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7F" w:rsidRDefault="00360F7F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E57E93" w:rsidRDefault="00E57E93" w:rsidP="00E57E93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54943">
        <w:rPr>
          <w:rFonts w:ascii="Liberation Serif" w:hAnsi="Liberation Serif"/>
        </w:rPr>
        <w:fldChar w:fldCharType="begin"/>
      </w:r>
      <w:r w:rsidRPr="00554943">
        <w:rPr>
          <w:rFonts w:ascii="Liberation Serif" w:hAnsi="Liberation Serif"/>
        </w:rPr>
        <w:instrText xml:space="preserve"> INCLUDEPICTURE "http://gerb.rossel.ru/data/Image/catalog_symb/71_mini.jpg" \* MERGEFORMATINET </w:instrText>
      </w:r>
      <w:r w:rsidRPr="00554943">
        <w:rPr>
          <w:rFonts w:ascii="Liberation Serif" w:hAnsi="Liberation Serif"/>
        </w:rPr>
        <w:fldChar w:fldCharType="separate"/>
      </w:r>
      <w:r w:rsidRPr="00554943"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Нижняя Салда, городской округ" style="width:36.75pt;height:58.5pt">
            <v:imagedata r:id="rId7" r:href="rId8"/>
          </v:shape>
        </w:pict>
      </w:r>
      <w:r w:rsidRPr="00554943">
        <w:rPr>
          <w:rFonts w:ascii="Liberation Serif" w:hAnsi="Liberation Serif"/>
        </w:rPr>
        <w:fldChar w:fldCharType="end"/>
      </w:r>
    </w:p>
    <w:p w:rsidR="00E57E93" w:rsidRDefault="00E57E93" w:rsidP="00E57E93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Нижняя Салда</w:t>
      </w:r>
    </w:p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5F132A" w:rsidRDefault="000E0D35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 w:rsidR="005F132A"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на </w:t>
      </w:r>
      <w:r w:rsidR="000E5FCF">
        <w:rPr>
          <w:rFonts w:ascii="Liberation Serif" w:hAnsi="Liberation Serif" w:cs="Liberation Serif"/>
          <w:b/>
          <w:sz w:val="32"/>
          <w:szCs w:val="32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376C71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наименованию </w:t>
            </w:r>
            <w:r w:rsidR="001E7FC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1E7FC7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(уточнить в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Классификаторе видов разрешенного использования земельных участков, утвержденном приказом Росреестра от 10.11.2020 № П/0412;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объект капитального строительства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функциональное назначение) и указанный в Едином государственном реестре недвижимости вид разрешенного использования земельного участка соответствуют основным и (или) условно разрешенным видам разрешенного использования, установленным Правилами землепользования 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r w:rsidR="00894E48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случае если земельный участок расположен в границах территории,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необходимо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356146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в градостроительном регламенте Правил землепользования 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и застройки: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lastRenderedPageBreak/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проездами, элементами благоустройства, парковками, указанными в проектной 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(разработка указанного раздела проектной документации требуется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653E1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недропользованию по Уральскому федеральному округу (Уралнедра)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полезных ископаемых по</w:t>
            </w:r>
            <w:r w:rsidR="004E6E86">
              <w:rPr>
                <w:rFonts w:ascii="Liberation Serif" w:hAnsi="Liberation Serif" w:cs="Liberation Serif"/>
                <w:bCs/>
                <w:sz w:val="28"/>
                <w:szCs w:val="28"/>
              </w:rPr>
              <w:t>д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4E7A1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E8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(не требуется на земельные участки, расположенные в границах населенных пунктов)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4E6E86" w:rsidRPr="00AA0B84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042A71" wp14:editId="5EDD36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6329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 случае если была необходимость проведения историко-культурной экспертизы).</w:t>
            </w:r>
            <w:r w:rsidR="0086329C" w:rsidRPr="008632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376C71" w:rsidRDefault="00376C71">
      <w:r>
        <w:br w:type="page"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7B71A2" wp14:editId="7CC32E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DE319" id="Прямоугольник 4" o:spid="_x0000_s1026" style="position:absolute;margin-left:-.2pt;margin-top:10.55pt;width:18.1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90195E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93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09.9pt;margin-top:7.25pt;width:3.6pt;height:1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76C71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E785" id="Прямоугольник 11" o:spid="_x0000_s1026" style="position:absolute;margin-left:-.2pt;margin-top:10.55pt;width:18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90195E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AA7E79" wp14:editId="7DC2D44D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A3C4" id="Прямая со стрелкой 13" o:spid="_x0000_s1026" type="#_x0000_t32" style="position:absolute;margin-left:309.9pt;margin-top:7.25pt;width:3.6pt;height:19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4FD5" id="Прямоугольник 14" o:spid="_x0000_s1026" style="position:absolute;margin-left:-.2pt;margin-top:10.55pt;width:18.1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санитарно-эпидемиологическое заключение Управления Роспотребнадзора по Свердловской области о соответствии проектной документации</w:t>
            </w:r>
          </w:p>
          <w:p w:rsidR="0090195E" w:rsidRPr="00AA0B84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в проектной документации предусмотрены мероприятия по сокращению </w:t>
            </w: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>санитарно-защитной зоны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32228" wp14:editId="00620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количество этажей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более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чем два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общая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площадь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 более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1500 кв. метров;</w:t>
            </w:r>
          </w:p>
          <w:p w:rsidR="00DE0651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не предназначены для проживания граждан;</w:t>
            </w:r>
          </w:p>
          <w:p w:rsidR="009937F2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не требуется установление санитарно-защитной зоны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для объектов 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и в пределах границ земельных участков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 объект не является особо опасным, технически сложным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, уникальным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не относится к объектам массового пребывания граждан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соответствии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приказом Министерства строительства и жилищно-коммунального хозяйства Российской Федерации от 10.04.2020 № 198/пр).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24FD7" wp14:editId="00FDE4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строительство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A6139B" w:rsidSect="00356146">
      <w:head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04" w:rsidRDefault="00526004" w:rsidP="00356146">
      <w:r>
        <w:separator/>
      </w:r>
    </w:p>
  </w:endnote>
  <w:endnote w:type="continuationSeparator" w:id="0">
    <w:p w:rsidR="00526004" w:rsidRDefault="00526004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04" w:rsidRDefault="00526004" w:rsidP="00356146">
      <w:r>
        <w:separator/>
      </w:r>
    </w:p>
  </w:footnote>
  <w:footnote w:type="continuationSeparator" w:id="0">
    <w:p w:rsidR="00526004" w:rsidRDefault="00526004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744391"/>
      <w:docPartObj>
        <w:docPartGallery w:val="Page Numbers (Top of Page)"/>
        <w:docPartUnique/>
      </w:docPartObj>
    </w:sdtPr>
    <w:sdtEndPr/>
    <w:sdtContent>
      <w:p w:rsidR="00356146" w:rsidRDefault="00356146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E57E93">
          <w:rPr>
            <w:rFonts w:ascii="Liberation Serif" w:hAnsi="Liberation Serif" w:cs="Liberation Serif"/>
            <w:noProof/>
          </w:rPr>
          <w:t>2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23880"/>
    <w:rsid w:val="00031469"/>
    <w:rsid w:val="000D377E"/>
    <w:rsid w:val="000E0D35"/>
    <w:rsid w:val="000E5FCF"/>
    <w:rsid w:val="001344F5"/>
    <w:rsid w:val="001E7FC7"/>
    <w:rsid w:val="002B1929"/>
    <w:rsid w:val="002F5A5B"/>
    <w:rsid w:val="00356146"/>
    <w:rsid w:val="00360F7F"/>
    <w:rsid w:val="00376C71"/>
    <w:rsid w:val="003A2F94"/>
    <w:rsid w:val="00497F46"/>
    <w:rsid w:val="004E6E86"/>
    <w:rsid w:val="004E7A1E"/>
    <w:rsid w:val="00526004"/>
    <w:rsid w:val="005803BC"/>
    <w:rsid w:val="005D6240"/>
    <w:rsid w:val="005F132A"/>
    <w:rsid w:val="00612828"/>
    <w:rsid w:val="00633A0C"/>
    <w:rsid w:val="0076593E"/>
    <w:rsid w:val="0086329C"/>
    <w:rsid w:val="00894E48"/>
    <w:rsid w:val="008F21DF"/>
    <w:rsid w:val="0090195E"/>
    <w:rsid w:val="00942BD8"/>
    <w:rsid w:val="00990466"/>
    <w:rsid w:val="009937F2"/>
    <w:rsid w:val="009E79A0"/>
    <w:rsid w:val="00A6139B"/>
    <w:rsid w:val="00AA0B84"/>
    <w:rsid w:val="00B11518"/>
    <w:rsid w:val="00B438C8"/>
    <w:rsid w:val="00C00E14"/>
    <w:rsid w:val="00D16724"/>
    <w:rsid w:val="00D30AAD"/>
    <w:rsid w:val="00D34DFC"/>
    <w:rsid w:val="00DE0651"/>
    <w:rsid w:val="00E57E93"/>
    <w:rsid w:val="00F1129F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066F-5C55-43C5-BDF0-9718423D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Пользователь</cp:lastModifiedBy>
  <cp:revision>3</cp:revision>
  <dcterms:created xsi:type="dcterms:W3CDTF">2024-02-26T11:16:00Z</dcterms:created>
  <dcterms:modified xsi:type="dcterms:W3CDTF">2024-02-26T11:54:00Z</dcterms:modified>
</cp:coreProperties>
</file>